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0" w:before="400"/>
        <w:jc w:val="center"/>
      </w:pPr>
      <w:r>
        <w:rPr>
          <w:rFonts w:ascii="Arial" w:cs="Arial" w:eastAsia="Arial" w:hAnsi="Arial"/>
          <w:b/>
          <w:bCs/>
          <w:color w:val="1F3864"/>
          <w:sz w:val="32"/>
          <w:szCs w:val="32"/>
        </w:rPr>
        <w:t xml:space="preserve">DUOC UC</w:t>
      </w:r>
    </w:p>
    <w:p>
      <w:pPr>
        <w:spacing w:after="600" w:before="0"/>
        <w:jc w:val="center"/>
      </w:pPr>
      <w:r>
        <w:rPr>
          <w:rFonts w:ascii="Arial" w:cs="Arial" w:eastAsia="Arial" w:hAnsi="Arial"/>
          <w:sz w:val="22"/>
          <w:szCs w:val="22"/>
        </w:rPr>
        <w:t xml:space="preserve">Escuela de Informática y Telecomunicaciones</w:t>
      </w:r>
    </w:p>
    <w:p>
      <w:pPr>
        <w:spacing w:after="200" w:before="800"/>
        <w:jc w:val="center"/>
      </w:pPr>
      <w:r>
        <w:rPr>
          <w:rFonts w:ascii="Arial" w:cs="Arial" w:eastAsia="Arial" w:hAnsi="Arial"/>
          <w:b/>
          <w:bCs/>
          <w:color w:val="1F3864"/>
          <w:sz w:val="32"/>
          <w:szCs w:val="32"/>
        </w:rPr>
        <w:t xml:space="preserve">Plan y Casos de Prueba</w:t>
      </w:r>
    </w:p>
    <w:p>
      <w:pPr>
        <w:spacing w:after="800" w:before="0"/>
        <w:jc w:val="center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Proyecto Barbería Big-Boys</w:t>
      </w:r>
    </w:p>
    <w:p>
      <w:pPr>
        <w:spacing w:after="800" w:before="0"/>
        <w:jc w:val="center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—</w:t>
      </w:r>
    </w:p>
    <w:p>
      <w:pPr>
        <w:spacing w:after="800" w:before="0"/>
        <w:jc w:val="center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Sistema de agendamiento y gestión (web + app móvil)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Asignatura</w:t>
            </w:r>
          </w:p>
        </w:tc>
        <w:tc>
          <w:tcPr>
            <w:tcW w:type="dxa" w:w="63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PTY4614 — Capstone</w:t>
            </w:r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Sección</w:t>
            </w:r>
          </w:p>
        </w:tc>
        <w:tc>
          <w:tcPr>
            <w:tcW w:type="dxa" w:w="63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CAPSTONE_011V</w:t>
            </w:r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Docente</w:t>
            </w:r>
          </w:p>
        </w:tc>
        <w:tc>
          <w:tcPr>
            <w:tcW w:type="dxa" w:w="63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Fernando Herrera</w:t>
            </w:r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Integrantes</w:t>
            </w:r>
          </w:p>
        </w:tc>
        <w:tc>
          <w:tcPr>
            <w:tcW w:type="dxa" w:w="63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Yerko Rosales (Jefe de Proyecto, Analista y Diseño UX/UI) · Jonathan Ojeda (Desarrollo Backend y Base de Datos)</w:t>
            </w:r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Fecha de entrega</w:t>
            </w:r>
          </w:p>
        </w:tc>
        <w:tc>
          <w:tcPr>
            <w:tcW w:type="dxa" w:w="63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18 de octubre de 2026 (entrega Fase 2)</w:t>
            </w:r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Versión</w:t>
            </w:r>
          </w:p>
        </w:tc>
        <w:tc>
          <w:tcPr>
            <w:tcW w:type="dxa" w:w="63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1.0</w:t>
            </w:r>
          </w:p>
        </w:tc>
      </w:tr>
    </w:tbl>
    <w:p>
      <w:r>
        <w:br w:type="page"/>
      </w:r>
    </w:p>
    <w:p>
      <w:pPr>
        <w:pStyle w:val="Heading1"/>
        <w:keepNext/>
        <w:spacing w:after="160" w:before="360"/>
      </w:pPr>
      <w:r>
        <w:rPr>
          <w:rFonts w:ascii="Arial" w:cs="Arial" w:eastAsia="Arial" w:hAnsi="Arial"/>
          <w:b/>
          <w:bCs/>
          <w:color w:val="1F3864"/>
          <w:sz w:val="28"/>
          <w:szCs w:val="28"/>
        </w:rPr>
        <w:t xml:space="preserve">1. Introducción</w:t>
      </w:r>
    </w:p>
    <w:p>
      <w:pPr>
        <w:spacing w:after="120" w:before="0" w:line="276"/>
        <w:jc w:val="both"/>
      </w:pPr>
      <w:r>
        <w:rPr>
          <w:rFonts w:ascii="Arial" w:cs="Arial" w:eastAsia="Arial" w:hAnsi="Arial"/>
          <w:sz w:val="22"/>
          <w:szCs w:val="22"/>
        </w:rPr>
        <w:t xml:space="preserve">Este documento define cómo se verificará el sistema del Proyecto Barbería Big-Boys y especifica sus casos de prueba. Contiene 77 casos funcionales, 22 pruebas automatizadas de base de datos (ya ejecutadas), 11 casos no funcionales y 6 escenarios de aceptación con el/la dueño/a.</w:t>
      </w:r>
    </w:p>
    <w:p>
      <w:pPr>
        <w:spacing w:after="120" w:before="0" w:line="276"/>
        <w:jc w:val="both"/>
      </w:pPr>
      <w:r>
        <w:rPr>
          <w:rFonts w:ascii="Arial" w:cs="Arial" w:eastAsia="Arial" w:hAnsi="Arial"/>
          <w:sz w:val="22"/>
          <w:szCs w:val="22"/>
        </w:rPr>
        <w:t xml:space="preserve">Los casos se derivan del Documento de Requerimientos (04), de la Especificación de Casos de Uso (17) y del Diseño de Base de Datos (16), y aplican las metas del Plan de Gestión de la Calidad (09). La estructura sigue la norma ISO/IEC/IEEE 29119-3 sobre documentación de pruebas (ISO/IEC/IEEE, 2021). Cada caso indica el requerimiento y el caso de uso que verifica, de modo que la matriz de la sección 11 muestra la cobertura completa de la V1.</w:t>
      </w:r>
    </w:p>
    <w:p>
      <w:pPr>
        <w:pStyle w:val="Heading1"/>
        <w:keepNext/>
        <w:spacing w:after="160" w:before="360"/>
      </w:pPr>
      <w:r>
        <w:rPr>
          <w:rFonts w:ascii="Arial" w:cs="Arial" w:eastAsia="Arial" w:hAnsi="Arial"/>
          <w:b/>
          <w:bCs/>
          <w:color w:val="1F3864"/>
          <w:sz w:val="28"/>
          <w:szCs w:val="28"/>
        </w:rPr>
        <w:t xml:space="preserve">2. Alcance de las Pruebas</w:t>
      </w:r>
    </w:p>
    <w:p>
      <w:pPr>
        <w:keepNext/>
        <w:spacing w:after="120" w:before="0" w:line="276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Incluye: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sz w:val="22"/>
          <w:szCs w:val="22"/>
        </w:rPr>
        <w:t xml:space="preserve">Los 58 requerimientos funcionales de la V1 (RF-01 a RF-22 y RF-28 a RF-63) en la web, la app Android y la API.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sz w:val="22"/>
          <w:szCs w:val="22"/>
        </w:rPr>
        <w:t xml:space="preserve">Los 11 requerimientos no funcionales (RNF-01 a RNF-11).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sz w:val="22"/>
          <w:szCs w:val="22"/>
        </w:rPr>
        <w:t xml:space="preserve">La integración con la pasarela de pago en el ambiente de integración de Transbank y con el servicio de correo.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sz w:val="22"/>
          <w:szCs w:val="22"/>
        </w:rPr>
        <w:t xml:space="preserve">El esquema PostgreSQL y sus reglas de integridad (traslapes, reagendamientos, auditoría inmutable, roles).</w:t>
      </w:r>
    </w:p>
    <w:p>
      <w:pPr>
        <w:keepNext/>
        <w:spacing w:after="120" w:before="120" w:line="276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Excluye: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sz w:val="22"/>
          <w:szCs w:val="22"/>
        </w:rPr>
        <w:t xml:space="preserve">Los requerimientos del roadmap V2 (RF-23 a RF-27).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sz w:val="22"/>
          <w:szCs w:val="22"/>
        </w:rPr>
        <w:t xml:space="preserve">El funcionamiento interno de la pasarela de pago, que es responsabilidad del proveedor certificado PCI DSS.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sz w:val="22"/>
          <w:szCs w:val="22"/>
        </w:rPr>
        <w:t xml:space="preserve">Pruebas de carga sobre la infraestructura del proveedor de hosting más allá de lo indicado en CP-NF-01.</w:t>
      </w:r>
    </w:p>
    <w:p>
      <w:pPr>
        <w:pStyle w:val="Heading1"/>
        <w:keepNext/>
        <w:spacing w:after="160" w:before="360"/>
      </w:pPr>
      <w:r>
        <w:rPr>
          <w:rFonts w:ascii="Arial" w:cs="Arial" w:eastAsia="Arial" w:hAnsi="Arial"/>
          <w:b/>
          <w:bCs/>
          <w:color w:val="1F3864"/>
          <w:sz w:val="28"/>
          <w:szCs w:val="28"/>
        </w:rPr>
        <w:t xml:space="preserve">3. Estrategia y Niveles de Prueba</w:t>
      </w:r>
    </w:p>
    <w:p>
      <w:pPr>
        <w:spacing w:after="120" w:before="0" w:line="276"/>
        <w:jc w:val="both"/>
      </w:pPr>
      <w:r>
        <w:rPr>
          <w:rFonts w:ascii="Arial" w:cs="Arial" w:eastAsia="Arial" w:hAnsi="Arial"/>
          <w:sz w:val="22"/>
          <w:szCs w:val="22"/>
        </w:rPr>
        <w:t xml:space="preserve">Las pruebas se ejecutan de abajo hacia arriba: primero las reglas de negocio y la base de datos, luego la integración de los componentes y, por último, la aceptación con el negocio. Cada defecto corregido se verifica con su caso y con una regresión de los casos Muy alta del módulo afectado.</w:t>
      </w:r>
    </w:p>
    <w:p>
      <w:pPr>
        <w:keepNext/>
        <w:spacing w:after="0" w:before="16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Tabla 1</w:t>
      </w:r>
    </w:p>
    <w:p>
      <w:pPr>
        <w:keepNext/>
        <w:spacing w:after="80" w:before="0"/>
      </w:pPr>
      <w:r>
        <w:rPr>
          <w:rFonts w:ascii="Arial" w:cs="Arial" w:eastAsia="Arial" w:hAnsi="Arial"/>
          <w:i/>
          <w:iCs/>
          <w:sz w:val="21"/>
          <w:szCs w:val="21"/>
        </w:rPr>
        <w:t xml:space="preserve">Niveles de prueba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500"/>
        <w:gridCol w:w="3260"/>
        <w:gridCol w:w="1500"/>
        <w:gridCol w:w="1900"/>
        <w:gridCol w:w="1200"/>
      </w:tblGrid>
      <w:tr>
        <w:trPr>
          <w:tblHeader/>
        </w:trPr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Nivel</w:t>
            </w:r>
          </w:p>
        </w:tc>
        <w:tc>
          <w:tcPr>
            <w:tcW w:type="dxa" w:w="32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Objetivo</w:t>
            </w:r>
          </w:p>
        </w:tc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Responsable</w:t>
            </w:r>
          </w:p>
        </w:tc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Herramienta</w:t>
            </w:r>
          </w:p>
        </w:tc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Semana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Unitarias</w:t>
            </w:r>
          </w:p>
        </w:tc>
        <w:tc>
          <w:tcPr>
            <w:tcW w:type="dxa" w:w="32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Verificar reglas de negocio: abono, 24 h, máximo 2 reagendamientos, estados de reserva y turno.</w:t>
            </w:r>
          </w:p>
        </w:tc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Jonathan Ojeda</w:t>
            </w:r>
          </w:p>
        </w:tc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Framework de pruebas del backend</w:t>
            </w:r>
          </w:p>
        </w:tc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Continuo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Base de datos</w:t>
            </w:r>
          </w:p>
        </w:tc>
        <w:tc>
          <w:tcPr>
            <w:tcW w:type="dxa" w:w="32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Verificar restricciones del esquema con casos positivos y negativos.</w:t>
            </w:r>
          </w:p>
        </w:tc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Jonathan Ojeda</w:t>
            </w:r>
          </w:p>
        </w:tc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PGlite / PostgreSQL (validar_sql.mjs)</w:t>
            </w:r>
          </w:p>
        </w:tc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S10 (ejecutado)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Integración</w:t>
            </w:r>
          </w:p>
        </w:tc>
        <w:tc>
          <w:tcPr>
            <w:tcW w:type="dxa" w:w="32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Verificar web–app–API–BD–pasarela–correo de extremo a extremo.</w:t>
            </w:r>
          </w:p>
        </w:tc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Yerko Rosales / Jonathan Ojeda</w:t>
            </w:r>
          </w:p>
        </w:tc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Ambiente de integración, Postman</w:t>
            </w:r>
          </w:p>
        </w:tc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S12–S13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Sistema (funcional)</w:t>
            </w:r>
          </w:p>
        </w:tc>
        <w:tc>
          <w:tcPr>
            <w:tcW w:type="dxa" w:w="32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Ejecutar los casos CP-01 a CP-77 sobre el sistema integrado.</w:t>
            </w:r>
          </w:p>
        </w:tc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Yerko Rosales (QA)</w:t>
            </w:r>
          </w:p>
        </w:tc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Este documento</w:t>
            </w:r>
          </w:p>
        </w:tc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S12–S13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Seguridad y privacidad</w:t>
            </w:r>
          </w:p>
        </w:tc>
        <w:tc>
          <w:tcPr>
            <w:tcW w:type="dxa" w:w="32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OWASP Top 10 básico, ejercicio de los 6 derechos, retención y consentimiento.</w:t>
            </w:r>
          </w:p>
        </w:tc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Yerko Rosales / Jonathan Ojeda</w:t>
            </w:r>
          </w:p>
        </w:tc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Revisión manual y escáneres</w:t>
            </w:r>
          </w:p>
        </w:tc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S13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Aceptación (UAT)</w:t>
            </w:r>
          </w:p>
        </w:tc>
        <w:tc>
          <w:tcPr>
            <w:tcW w:type="dxa" w:w="32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Validar con el/la dueño/a los escenarios reales de operación.</w:t>
            </w:r>
          </w:p>
        </w:tc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Yerko Rosales y dueño/a</w:t>
            </w:r>
          </w:p>
        </w:tc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Escenarios UAT-01 a UAT-06</w:t>
            </w:r>
          </w:p>
        </w:tc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S13–S14</w:t>
            </w:r>
          </w:p>
        </w:tc>
      </w:tr>
    </w:tbl>
    <w:p>
      <w:pPr>
        <w:spacing w:after="200" w:before="60"/>
      </w:pPr>
      <w:r>
        <w:rPr>
          <w:rFonts w:ascii="Arial" w:cs="Arial" w:eastAsia="Arial" w:hAnsi="Arial"/>
          <w:i/>
          <w:iCs/>
          <w:sz w:val="18"/>
          <w:szCs w:val="18"/>
        </w:rPr>
        <w:t xml:space="preserve">Nota. </w:t>
      </w:r>
      <w:r>
        <w:rPr>
          <w:rFonts w:ascii="Arial" w:cs="Arial" w:eastAsia="Arial" w:hAnsi="Arial"/>
          <w:sz w:val="18"/>
          <w:szCs w:val="18"/>
        </w:rPr>
        <w:t xml:space="preserve">Semanas según el Cronograma (07): H6 Sistema integrado el 30-10-2026 y H7 UAT aprobada el 10-11-2026.</w:t>
      </w:r>
    </w:p>
    <w:p>
      <w:pPr>
        <w:pStyle w:val="Heading1"/>
        <w:keepNext/>
        <w:spacing w:after="160" w:before="360"/>
      </w:pPr>
      <w:r>
        <w:rPr>
          <w:rFonts w:ascii="Arial" w:cs="Arial" w:eastAsia="Arial" w:hAnsi="Arial"/>
          <w:b/>
          <w:bCs/>
          <w:color w:val="1F3864"/>
          <w:sz w:val="28"/>
          <w:szCs w:val="28"/>
        </w:rPr>
        <w:t xml:space="preserve">4. Ambientes y Datos de Prueba</w:t>
      </w:r>
    </w:p>
    <w:p>
      <w:pPr>
        <w:keepNext/>
        <w:spacing w:after="0" w:before="16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Tabla 2</w:t>
      </w:r>
    </w:p>
    <w:p>
      <w:pPr>
        <w:keepNext/>
        <w:spacing w:after="80" w:before="0"/>
      </w:pPr>
      <w:r>
        <w:rPr>
          <w:rFonts w:ascii="Arial" w:cs="Arial" w:eastAsia="Arial" w:hAnsi="Arial"/>
          <w:i/>
          <w:iCs/>
          <w:sz w:val="21"/>
          <w:szCs w:val="21"/>
        </w:rPr>
        <w:t xml:space="preserve">Ambientes de prueba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800"/>
        <w:gridCol w:w="4260"/>
        <w:gridCol w:w="3300"/>
      </w:tblGrid>
      <w:tr>
        <w:trPr>
          <w:tblHeader/>
        </w:trPr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Ambiente</w:t>
            </w:r>
          </w:p>
        </w:tc>
        <w:tc>
          <w:tcPr>
            <w:tcW w:type="dxa" w:w="42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Componentes</w:t>
            </w:r>
          </w:p>
        </w:tc>
        <w:tc>
          <w:tcPr>
            <w:tcW w:type="dxa" w:w="3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Uso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Local</w:t>
            </w:r>
          </w:p>
        </w:tc>
        <w:tc>
          <w:tcPr>
            <w:tcW w:type="dxa" w:w="42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API y PostgreSQL en el equipo del desarrollador; PGlite para pruebas del esquema.</w:t>
            </w:r>
          </w:p>
        </w:tc>
        <w:tc>
          <w:tcPr>
            <w:tcW w:type="dxa" w:w="3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Pruebas unitarias y de base de datos.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Integración</w:t>
            </w:r>
          </w:p>
        </w:tc>
        <w:tc>
          <w:tcPr>
            <w:tcW w:type="dxa" w:w="42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Web, app Android (emulador y dispositivo físico), API, PostgreSQL, ambiente de integración de Transbank y servicio de correo de prueba.</w:t>
            </w:r>
          </w:p>
        </w:tc>
        <w:tc>
          <w:tcPr>
            <w:tcW w:type="dxa" w:w="3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Pruebas de integración, sistema, seguridad y privacidad.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Aceptación</w:t>
            </w:r>
          </w:p>
        </w:tc>
        <w:tc>
          <w:tcPr>
            <w:tcW w:type="dxa" w:w="42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Copia del ambiente de integración con datos de prueba de las tres sucursales.</w:t>
            </w:r>
          </w:p>
        </w:tc>
        <w:tc>
          <w:tcPr>
            <w:tcW w:type="dxa" w:w="3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UAT con el/la dueño/a y marcha blanca.</w:t>
            </w:r>
          </w:p>
        </w:tc>
      </w:tr>
    </w:tbl>
    <w:p>
      <w:pPr>
        <w:keepNext/>
        <w:spacing w:after="120" w:before="160" w:line="276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Datos de prueba: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sz w:val="22"/>
          <w:szCs w:val="22"/>
        </w:rPr>
        <w:t xml:space="preserve">Tres sucursales: Peñaflor – 21 de Mayo, Peñaflor – Alcalde Luis Araya Cereceda y Talagante.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sz w:val="22"/>
          <w:szCs w:val="22"/>
        </w:rPr>
        <w:t xml:space="preserve">Un Dueño, un cajero/a por sucursal y al menos dos barberos por sucursal con jornadas definidas.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sz w:val="22"/>
          <w:szCs w:val="22"/>
        </w:rPr>
        <w:t xml:space="preserve">El catálogo de servicios vigente con precios en CLP y abono de $3.000; la sucursal 3 con abono de 20% para CP-36.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sz w:val="22"/>
          <w:szCs w:val="22"/>
        </w:rPr>
        <w:t xml:space="preserve">Clientes registrados e invitados ficticios. No se usan datos personales reales de clientes en ningún ambiente de prueba.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sz w:val="22"/>
          <w:szCs w:val="22"/>
        </w:rPr>
        <w:t xml:space="preserve">Tarjetas de prueba oficiales del ambiente de integración de Transbank para pagos aprobados y rechazados.</w:t>
      </w:r>
    </w:p>
    <w:p>
      <w:pPr>
        <w:pStyle w:val="Heading1"/>
        <w:keepNext/>
        <w:spacing w:after="160" w:before="360"/>
      </w:pPr>
      <w:r>
        <w:rPr>
          <w:rFonts w:ascii="Arial" w:cs="Arial" w:eastAsia="Arial" w:hAnsi="Arial"/>
          <w:b/>
          <w:bCs/>
          <w:color w:val="1F3864"/>
          <w:sz w:val="28"/>
          <w:szCs w:val="28"/>
        </w:rPr>
        <w:t xml:space="preserve">5. Criterios de Entrada, Salida y Suspensión</w:t>
      </w:r>
    </w:p>
    <w:p>
      <w:pPr>
        <w:keepNext/>
        <w:spacing w:after="120" w:before="0" w:line="276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Entrada: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sz w:val="22"/>
          <w:szCs w:val="22"/>
        </w:rPr>
        <w:t xml:space="preserve">Sistema desplegado en el ambiente de integración (hito H6).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sz w:val="22"/>
          <w:szCs w:val="22"/>
        </w:rPr>
        <w:t xml:space="preserve">Pruebas unitarias y de base de datos en verde.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sz w:val="22"/>
          <w:szCs w:val="22"/>
        </w:rPr>
        <w:t xml:space="preserve">Datos de prueba cargados según la sección 4.</w:t>
      </w:r>
    </w:p>
    <w:p>
      <w:pPr>
        <w:keepNext/>
        <w:spacing w:after="120" w:before="120" w:line="276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Salida (según las metas del Plan de Gestión de la Calidad):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sz w:val="22"/>
          <w:szCs w:val="22"/>
        </w:rPr>
        <w:t xml:space="preserve">100% de los casos de prioridad Muy alta y Alta aprobados.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sz w:val="22"/>
          <w:szCs w:val="22"/>
        </w:rPr>
        <w:t xml:space="preserve">Al menos 90% del total de casos aprobados.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sz w:val="22"/>
          <w:szCs w:val="22"/>
        </w:rPr>
        <w:t xml:space="preserve">Cero defectos críticos abiertos y como máximo 3 defectos menores abiertos.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sz w:val="22"/>
          <w:szCs w:val="22"/>
        </w:rPr>
        <w:t xml:space="preserve">UAT aprobada por el/la dueño/a con satisfacción ≥ 4 de 5.</w:t>
      </w:r>
    </w:p>
    <w:p>
      <w:pPr>
        <w:keepNext/>
        <w:spacing w:after="120" w:before="120" w:line="276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Suspensión: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sz w:val="22"/>
          <w:szCs w:val="22"/>
        </w:rPr>
        <w:t xml:space="preserve">El ambiente de integración o la pasarela no están disponibles.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sz w:val="22"/>
          <w:szCs w:val="22"/>
        </w:rPr>
        <w:t xml:space="preserve">Un defecto crítico impide ejecutar más del 30% de los casos restantes del ciclo.</w:t>
      </w:r>
    </w:p>
    <w:p>
      <w:pPr>
        <w:keepNext/>
        <w:spacing w:after="0" w:before="16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Tabla 3</w:t>
      </w:r>
    </w:p>
    <w:p>
      <w:pPr>
        <w:keepNext/>
        <w:spacing w:after="80" w:before="0"/>
      </w:pPr>
      <w:r>
        <w:rPr>
          <w:rFonts w:ascii="Arial" w:cs="Arial" w:eastAsia="Arial" w:hAnsi="Arial"/>
          <w:i/>
          <w:iCs/>
          <w:sz w:val="21"/>
          <w:szCs w:val="21"/>
        </w:rPr>
        <w:t xml:space="preserve">Clasificación de defectos por severidad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400"/>
        <w:gridCol w:w="3460"/>
        <w:gridCol w:w="3000"/>
        <w:gridCol w:w="1500"/>
      </w:tblGrid>
      <w:tr>
        <w:trPr>
          <w:tblHeader/>
        </w:trPr>
        <w:tc>
          <w:tcPr>
            <w:tcW w:type="dxa" w:w="1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Severidad</w:t>
            </w:r>
          </w:p>
        </w:tc>
        <w:tc>
          <w:tcPr>
            <w:tcW w:type="dxa" w:w="34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Definición</w:t>
            </w:r>
          </w:p>
        </w:tc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Ejemplo</w:t>
            </w:r>
          </w:p>
        </w:tc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Tiempo de corrección</w:t>
            </w:r>
          </w:p>
        </w:tc>
      </w:tr>
      <w:tr>
        <w:trPr>
          <w:cantSplit/>
        </w:trPr>
        <w:tc>
          <w:tcPr>
            <w:tcW w:type="dxa" w:w="1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Crítica</w:t>
            </w:r>
          </w:p>
        </w:tc>
        <w:tc>
          <w:tcPr>
            <w:tcW w:type="dxa" w:w="34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Impide operar, compromete pagos o datos personales.</w:t>
            </w:r>
          </w:p>
        </w:tc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Se permiten reservas traslapadas; se guarda un dato de tarjeta.</w:t>
            </w:r>
          </w:p>
        </w:tc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Antes del siguiente ciclo</w:t>
            </w:r>
          </w:p>
        </w:tc>
      </w:tr>
      <w:tr>
        <w:trPr>
          <w:cantSplit/>
        </w:trPr>
        <w:tc>
          <w:tcPr>
            <w:tcW w:type="dxa" w:w="1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Alta</w:t>
            </w:r>
          </w:p>
        </w:tc>
        <w:tc>
          <w:tcPr>
            <w:tcW w:type="dxa" w:w="34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Una regla de negocio Muy alta o Alta no se cumple y no hay alternativa.</w:t>
            </w:r>
          </w:p>
        </w:tc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No se aplica la regla de 24 h al cancelar.</w:t>
            </w:r>
          </w:p>
        </w:tc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≤ 2 días</w:t>
            </w:r>
          </w:p>
        </w:tc>
      </w:tr>
      <w:tr>
        <w:trPr>
          <w:cantSplit/>
        </w:trPr>
        <w:tc>
          <w:tcPr>
            <w:tcW w:type="dxa" w:w="1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Media</w:t>
            </w:r>
          </w:p>
        </w:tc>
        <w:tc>
          <w:tcPr>
            <w:tcW w:type="dxa" w:w="34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Falla con alternativa o en un requerimiento Media.</w:t>
            </w:r>
          </w:p>
        </w:tc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El historial no filtra por estado.</w:t>
            </w:r>
          </w:p>
        </w:tc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≤ 5 días</w:t>
            </w:r>
          </w:p>
        </w:tc>
      </w:tr>
      <w:tr>
        <w:trPr>
          <w:cantSplit/>
        </w:trPr>
        <w:tc>
          <w:tcPr>
            <w:tcW w:type="dxa" w:w="1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Baja</w:t>
            </w:r>
          </w:p>
        </w:tc>
        <w:tc>
          <w:tcPr>
            <w:tcW w:type="dxa" w:w="34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Defecto visual o de texto sin impacto en la operación.</w:t>
            </w:r>
          </w:p>
        </w:tc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Error ortográfico en un mensaje.</w:t>
            </w:r>
          </w:p>
        </w:tc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Según disponibilidad</w:t>
            </w:r>
          </w:p>
        </w:tc>
      </w:tr>
    </w:tbl>
    <w:p>
      <w:pPr>
        <w:pStyle w:val="Heading1"/>
        <w:keepNext/>
        <w:spacing w:after="160" w:before="360"/>
      </w:pPr>
      <w:r>
        <w:rPr>
          <w:rFonts w:ascii="Arial" w:cs="Arial" w:eastAsia="Arial" w:hAnsi="Arial"/>
          <w:b/>
          <w:bCs/>
          <w:color w:val="1F3864"/>
          <w:sz w:val="28"/>
          <w:szCs w:val="28"/>
        </w:rPr>
        <w:t xml:space="preserve">6. Estructura de los Casos de Prueba</w:t>
      </w:r>
    </w:p>
    <w:p>
      <w:pPr>
        <w:spacing w:after="120" w:before="0" w:line="276"/>
        <w:jc w:val="both"/>
      </w:pPr>
      <w:r>
        <w:rPr>
          <w:rFonts w:ascii="Arial" w:cs="Arial" w:eastAsia="Arial" w:hAnsi="Arial"/>
          <w:sz w:val="22"/>
          <w:szCs w:val="22"/>
        </w:rPr>
        <w:t xml:space="preserve">Cada caso funcional se describe con los campos de la tabla siguiente. El resultado obtenido, el estado y la fecha de ejecución se registran en el Registro de Ejecución (sección 12).</w:t>
      </w:r>
    </w:p>
    <w:p>
      <w:pPr>
        <w:keepNext/>
        <w:spacing w:after="0" w:before="16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Tabla 4</w:t>
      </w:r>
    </w:p>
    <w:p>
      <w:pPr>
        <w:keepNext/>
        <w:spacing w:after="80" w:before="0"/>
      </w:pPr>
      <w:r>
        <w:rPr>
          <w:rFonts w:ascii="Arial" w:cs="Arial" w:eastAsia="Arial" w:hAnsi="Arial"/>
          <w:i/>
          <w:iCs/>
          <w:sz w:val="21"/>
          <w:szCs w:val="21"/>
        </w:rPr>
        <w:t xml:space="preserve">Campos de un caso de prueba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400"/>
        <w:gridCol w:w="6960"/>
      </w:tblGrid>
      <w:tr>
        <w:trPr>
          <w:tblHeader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Campo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Descripción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ID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Identificador único: CP-NN (funcional), CP-BD-NN (base de datos), CP-NF-NN (no funcional) o UAT-NN (aceptación).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Caso y precondición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Qué se verifica y el estado del sistema necesario antes de ejecutar.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Pasos y datos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Acciones en orden con los datos de entrada concretos.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Resultado esperado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Comportamiento observable que permite aprobar o rechazar el caso.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Trazabilidad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Requerimientos (RF/RNF), caso de uso y flujo (p. ej., CU-22 A1 = flujo alternativo 1) y prioridad heredada del requerimiento de mayor prioridad.</w:t>
            </w:r>
          </w:p>
        </w:tc>
      </w:tr>
    </w:tbl>
    <w:p>
      <w:pPr>
        <w:pStyle w:val="Heading1"/>
        <w:keepNext/>
        <w:spacing w:after="160" w:before="360"/>
      </w:pPr>
      <w:r>
        <w:rPr>
          <w:rFonts w:ascii="Arial" w:cs="Arial" w:eastAsia="Arial" w:hAnsi="Arial"/>
          <w:b/>
          <w:bCs/>
          <w:color w:val="1F3864"/>
          <w:sz w:val="28"/>
          <w:szCs w:val="28"/>
        </w:rPr>
        <w:t xml:space="preserve">7. Casos de Prueba Funcionales</w:t>
      </w: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1F3864"/>
          <w:sz w:val="24"/>
          <w:szCs w:val="24"/>
        </w:rPr>
        <w:t xml:space="preserve">7.1 Cuenta, acceso y roles</w:t>
      </w:r>
    </w:p>
    <w:p>
      <w:pPr>
        <w:keepNext/>
        <w:spacing w:after="120" w:before="0" w:line="276"/>
        <w:jc w:val="both"/>
      </w:pPr>
      <w:r>
        <w:rPr>
          <w:rFonts w:ascii="Arial" w:cs="Arial" w:eastAsia="Arial" w:hAnsi="Arial"/>
          <w:sz w:val="22"/>
          <w:szCs w:val="22"/>
        </w:rPr>
        <w:t xml:space="preserve">Cubre el registro de clientes, inicio y cierre de sesión, recuperación de contraseña, edición de perfil, ingreso como invitado y control de acceso por rol (CU-01 a CU-06).</w:t>
      </w:r>
    </w:p>
    <w:p>
      <w:pPr>
        <w:keepNext/>
        <w:spacing w:after="0" w:before="16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Tabla 5</w:t>
      </w:r>
    </w:p>
    <w:p>
      <w:pPr>
        <w:keepNext/>
        <w:spacing w:after="80" w:before="0"/>
      </w:pPr>
      <w:r>
        <w:rPr>
          <w:rFonts w:ascii="Arial" w:cs="Arial" w:eastAsia="Arial" w:hAnsi="Arial"/>
          <w:i/>
          <w:iCs/>
          <w:sz w:val="21"/>
          <w:szCs w:val="21"/>
        </w:rPr>
        <w:t xml:space="preserve">Casos de prueba — Cuenta, acceso y roles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20"/>
        <w:gridCol w:w="2050"/>
        <w:gridCol w:w="2730"/>
        <w:gridCol w:w="2560"/>
        <w:gridCol w:w="1200"/>
      </w:tblGrid>
      <w:tr>
        <w:trPr>
          <w:tblHeader/>
        </w:trPr>
        <w:tc>
          <w:tcPr>
            <w:tcW w:type="dxa" w:w="8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20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Caso y precondición</w:t>
            </w:r>
          </w:p>
        </w:tc>
        <w:tc>
          <w:tcPr>
            <w:tcW w:type="dxa" w:w="273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Pasos y datos</w:t>
            </w:r>
          </w:p>
        </w:tc>
        <w:tc>
          <w:tcPr>
            <w:tcW w:type="dxa" w:w="2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Resultado esperado</w:t>
            </w:r>
          </w:p>
        </w:tc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Traza</w:t>
            </w:r>
          </w:p>
        </w:tc>
      </w:tr>
      <w:tr>
        <w:trPr>
          <w:cantSplit/>
        </w:trPr>
        <w:tc>
          <w:tcPr>
            <w:tcW w:type="dxa" w:w="8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CP-01</w:t>
            </w:r>
          </w:p>
        </w:tc>
        <w:tc>
          <w:tcPr>
            <w:tcW w:type="dxa" w:w="20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Registro exitoso de cliente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Pre: El correo no está registrado.</w:t>
            </w:r>
          </w:p>
        </w:tc>
        <w:tc>
          <w:tcPr>
            <w:tcW w:type="dxa" w:w="273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1. Abrir «Crear cuenta».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2. Ingresar nombre «Juan Prueba», correo juan.prueba@correo.cl, contraseña «Barba2026» y teléfono vacío.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3. Aceptar la Política de Privacidad; dejar desmarcado el consentimiento promocional.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4. Enviar.</w:t>
            </w:r>
          </w:p>
        </w:tc>
        <w:tc>
          <w:tcPr>
            <w:tcW w:type="dxa" w:w="2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Cuenta creada con rol CLIENTE.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El formulario no solicita RUT.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Consentimiento de SERVICIO guardado con versión, fecha, finalidad y canal; sin consentimiento promocional.</w:t>
            </w:r>
          </w:p>
        </w:tc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RF-01, RF-48, RF-49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CU-01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Alta</w:t>
            </w:r>
          </w:p>
        </w:tc>
      </w:tr>
      <w:tr>
        <w:trPr>
          <w:cantSplit/>
        </w:trPr>
        <w:tc>
          <w:tcPr>
            <w:tcW w:type="dxa" w:w="8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CP-02</w:t>
            </w:r>
          </w:p>
        </w:tc>
        <w:tc>
          <w:tcPr>
            <w:tcW w:type="dxa" w:w="20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Registro sin aceptar la política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Pre: El correo no está registrado.</w:t>
            </w:r>
          </w:p>
        </w:tc>
        <w:tc>
          <w:tcPr>
            <w:tcW w:type="dxa" w:w="273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1. Completar los datos válidos.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2. No marcar la aceptación de la política.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3. Enviar.</w:t>
            </w:r>
          </w:p>
        </w:tc>
        <w:tc>
          <w:tcPr>
            <w:tcW w:type="dxa" w:w="2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No se crea la cuenta.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Se explica por qué la aceptación es necesaria.</w:t>
            </w:r>
          </w:p>
        </w:tc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RF-01, RF-48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CU-01 A2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Alta</w:t>
            </w:r>
          </w:p>
        </w:tc>
      </w:tr>
      <w:tr>
        <w:trPr>
          <w:cantSplit/>
        </w:trPr>
        <w:tc>
          <w:tcPr>
            <w:tcW w:type="dxa" w:w="8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CP-03</w:t>
            </w:r>
          </w:p>
        </w:tc>
        <w:tc>
          <w:tcPr>
            <w:tcW w:type="dxa" w:w="20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Registro con correo ya existente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Pre: Existe una cuenta con juan.prueba@correo.cl.</w:t>
            </w:r>
          </w:p>
        </w:tc>
        <w:tc>
          <w:tcPr>
            <w:tcW w:type="dxa" w:w="273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1. Registrarse con el mismo correo.</w:t>
            </w:r>
          </w:p>
        </w:tc>
        <w:tc>
          <w:tcPr>
            <w:tcW w:type="dxa" w:w="2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No se crea una cuenta duplicada.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Se ofrece recuperar la contraseña (CU-03).</w:t>
            </w:r>
          </w:p>
        </w:tc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RF-01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CU-01 A1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Alta</w:t>
            </w:r>
          </w:p>
        </w:tc>
      </w:tr>
      <w:tr>
        <w:trPr>
          <w:cantSplit/>
        </w:trPr>
        <w:tc>
          <w:tcPr>
            <w:tcW w:type="dxa" w:w="8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CP-04</w:t>
            </w:r>
          </w:p>
        </w:tc>
        <w:tc>
          <w:tcPr>
            <w:tcW w:type="dxa" w:w="20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Registro con contraseña débil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Pre: El correo no está registrado.</w:t>
            </w:r>
          </w:p>
        </w:tc>
        <w:tc>
          <w:tcPr>
            <w:tcW w:type="dxa" w:w="273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1. Ingresar la contraseña «abc12» (5 caracteres).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2. Repetir con «abcdefgh» (sin números).</w:t>
            </w:r>
          </w:p>
        </w:tc>
        <w:tc>
          <w:tcPr>
            <w:tcW w:type="dxa" w:w="2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Ambos intentos se rechazan indicando el requisito: al menos 8 caracteres con letras y números.</w:t>
            </w:r>
          </w:p>
        </w:tc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RF-01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CU-01 A3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Alta</w:t>
            </w:r>
          </w:p>
        </w:tc>
      </w:tr>
      <w:tr>
        <w:trPr>
          <w:cantSplit/>
        </w:trPr>
        <w:tc>
          <w:tcPr>
            <w:tcW w:type="dxa" w:w="8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CP-05</w:t>
            </w:r>
          </w:p>
        </w:tc>
        <w:tc>
          <w:tcPr>
            <w:tcW w:type="dxa" w:w="20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Cupón de bienvenida limitado a 100 registros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Pre: Existen 99 registros con cupón asignado.</w:t>
            </w:r>
          </w:p>
        </w:tc>
        <w:tc>
          <w:tcPr>
            <w:tcW w:type="dxa" w:w="273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1. Registrar el cliente N° 100.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2. Registrar el cliente N° 101.</w:t>
            </w:r>
          </w:p>
        </w:tc>
        <w:tc>
          <w:tcPr>
            <w:tcW w:type="dxa" w:w="2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El cliente N° 100 recibe un cupón BIENVENIDA con PIN de 4 dígitos.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El cliente N° 101 no recibe cupón.</w:t>
            </w:r>
          </w:p>
        </w:tc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RF-19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CU-01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Media</w:t>
            </w:r>
          </w:p>
        </w:tc>
      </w:tr>
      <w:tr>
        <w:trPr>
          <w:cantSplit/>
        </w:trPr>
        <w:tc>
          <w:tcPr>
            <w:tcW w:type="dxa" w:w="8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CP-06</w:t>
            </w:r>
          </w:p>
        </w:tc>
        <w:tc>
          <w:tcPr>
            <w:tcW w:type="dxa" w:w="20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Inicio de sesión exitoso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Pre: Cuenta activa de cliente y de cajero/a de la sucursal 1.</w:t>
            </w:r>
          </w:p>
        </w:tc>
        <w:tc>
          <w:tcPr>
            <w:tcW w:type="dxa" w:w="273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1. Iniciar sesión con credenciales válidas de cada cuenta.</w:t>
            </w:r>
          </w:p>
        </w:tc>
        <w:tc>
          <w:tcPr>
            <w:tcW w:type="dxa" w:w="2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Se emite una sesión con los permisos del rol y, para el cajero/a, alcance a la sucursal 1.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El acceso queda en el registro de auditoría.</w:t>
            </w:r>
          </w:p>
        </w:tc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RF-02, RF-05, RF-57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CU-02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Alta</w:t>
            </w:r>
          </w:p>
        </w:tc>
      </w:tr>
      <w:tr>
        <w:trPr>
          <w:cantSplit/>
        </w:trPr>
        <w:tc>
          <w:tcPr>
            <w:tcW w:type="dxa" w:w="8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CP-07</w:t>
            </w:r>
          </w:p>
        </w:tc>
        <w:tc>
          <w:tcPr>
            <w:tcW w:type="dxa" w:w="20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Credenciales inválidas sin revelar el correo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Pre: Cuenta activa.</w:t>
            </w:r>
          </w:p>
        </w:tc>
        <w:tc>
          <w:tcPr>
            <w:tcW w:type="dxa" w:w="273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1. Ingresar un correo existente con contraseña errónea.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2. Ingresar un correo inexistente.</w:t>
            </w:r>
          </w:p>
        </w:tc>
        <w:tc>
          <w:tcPr>
            <w:tcW w:type="dxa" w:w="2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Ambos casos muestran el mismo mensaje genérico.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Se incrementa el contador de intentos de la cuenta existente.</w:t>
            </w:r>
          </w:p>
        </w:tc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RF-02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CU-02 A1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Alta</w:t>
            </w:r>
          </w:p>
        </w:tc>
      </w:tr>
      <w:tr>
        <w:trPr>
          <w:cantSplit/>
        </w:trPr>
        <w:tc>
          <w:tcPr>
            <w:tcW w:type="dxa" w:w="8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CP-08</w:t>
            </w:r>
          </w:p>
        </w:tc>
        <w:tc>
          <w:tcPr>
            <w:tcW w:type="dxa" w:w="20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Bloqueo temporal tras 5 intentos fallidos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Pre: Cuenta activa sin intentos fallidos.</w:t>
            </w:r>
          </w:p>
        </w:tc>
        <w:tc>
          <w:tcPr>
            <w:tcW w:type="dxa" w:w="273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1. Ingresar 5 veces una contraseña errónea.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2. Ingresar la contraseña correcta antes de 15 minutos.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3. Repetir después de 15 minutos.</w:t>
            </w:r>
          </w:p>
        </w:tc>
        <w:tc>
          <w:tcPr>
            <w:tcW w:type="dxa" w:w="2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Tras el 5.º intento la cuenta se bloquea por 15 minutos y se envía aviso por correo.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El paso 2 es rechazado; el paso 3 permite el ingreso.</w:t>
            </w:r>
          </w:p>
        </w:tc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RF-02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CU-02 A2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Alta</w:t>
            </w:r>
          </w:p>
        </w:tc>
      </w:tr>
      <w:tr>
        <w:trPr>
          <w:cantSplit/>
        </w:trPr>
        <w:tc>
          <w:tcPr>
            <w:tcW w:type="dxa" w:w="8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CP-09</w:t>
            </w:r>
          </w:p>
        </w:tc>
        <w:tc>
          <w:tcPr>
            <w:tcW w:type="dxa" w:w="20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Primer ingreso de colaborador con contraseña temporal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Pre: El Dueño creó un perfil de barbero (CP-58).</w:t>
            </w:r>
          </w:p>
        </w:tc>
        <w:tc>
          <w:tcPr>
            <w:tcW w:type="dxa" w:w="273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1. El barbero inicia sesión con la contraseña temporal.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2. Intenta navegar sin cambiarla.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3. Define una nueva contraseña.</w:t>
            </w:r>
          </w:p>
        </w:tc>
        <w:tc>
          <w:tcPr>
            <w:tcW w:type="dxa" w:w="2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El sistema exige definir una nueva contraseña antes de continuar.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Tras el cambio se habilita su vista de solo lectura.</w:t>
            </w:r>
          </w:p>
        </w:tc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RF-63, RF-02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CU-02 A4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Muy alta</w:t>
            </w:r>
          </w:p>
        </w:tc>
      </w:tr>
      <w:tr>
        <w:trPr>
          <w:cantSplit/>
        </w:trPr>
        <w:tc>
          <w:tcPr>
            <w:tcW w:type="dxa" w:w="8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CP-10</w:t>
            </w:r>
          </w:p>
        </w:tc>
        <w:tc>
          <w:tcPr>
            <w:tcW w:type="dxa" w:w="20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Recuperación de contraseña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Pre: Cuenta activa con sesión abierta en otro dispositivo.</w:t>
            </w:r>
          </w:p>
        </w:tc>
        <w:tc>
          <w:tcPr>
            <w:tcW w:type="dxa" w:w="273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1. Seleccionar «Olvidé mi contraseña» e ingresar el correo.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2. Abrir el enlace recibido y definir una nueva contraseña.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3. Volver a usar el mismo enlace.</w:t>
            </w:r>
          </w:p>
        </w:tc>
        <w:tc>
          <w:tcPr>
            <w:tcW w:type="dxa" w:w="2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El enlace es de un solo uso y vence a los 30 minutos.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Las sesiones previas se invalidan y el evento queda registrado.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El paso 3 es rechazado.</w:t>
            </w:r>
          </w:p>
        </w:tc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RF-38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CU-03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Alta</w:t>
            </w:r>
          </w:p>
        </w:tc>
      </w:tr>
      <w:tr>
        <w:trPr>
          <w:cantSplit/>
        </w:trPr>
        <w:tc>
          <w:tcPr>
            <w:tcW w:type="dxa" w:w="8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CP-11</w:t>
            </w:r>
          </w:p>
        </w:tc>
        <w:tc>
          <w:tcPr>
            <w:tcW w:type="dxa" w:w="20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Recuperación con enlace vencido o correo no registrado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Pre: Enlace generado hace más de 30 minutos.</w:t>
            </w:r>
          </w:p>
        </w:tc>
        <w:tc>
          <w:tcPr>
            <w:tcW w:type="dxa" w:w="273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1. Abrir el enlace vencido.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2. Solicitar recuperación para un correo no registrado.</w:t>
            </w:r>
          </w:p>
        </w:tc>
        <w:tc>
          <w:tcPr>
            <w:tcW w:type="dxa" w:w="2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Paso 1: se solicita generar un enlace nuevo.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Paso 2: se muestra el mismo mensaje de confirmación (no revela si el correo existe).</w:t>
            </w:r>
          </w:p>
        </w:tc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RF-38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CU-03 A1, A2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Alta</w:t>
            </w:r>
          </w:p>
        </w:tc>
      </w:tr>
      <w:tr>
        <w:trPr>
          <w:cantSplit/>
        </w:trPr>
        <w:tc>
          <w:tcPr>
            <w:tcW w:type="dxa" w:w="8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CP-12</w:t>
            </w:r>
          </w:p>
        </w:tc>
        <w:tc>
          <w:tcPr>
            <w:tcW w:type="dxa" w:w="20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Edición del perfil (rectificación directa)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Pre: Sesión de cliente iniciada.</w:t>
            </w:r>
          </w:p>
        </w:tc>
        <w:tc>
          <w:tcPr>
            <w:tcW w:type="dxa" w:w="273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1. Abrir «Mi perfil» y cambiar el teléfono.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2. Cambiar el correo electrónico.</w:t>
            </w:r>
          </w:p>
        </w:tc>
        <w:tc>
          <w:tcPr>
            <w:tcW w:type="dxa" w:w="2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El teléfono se guarda y el cambio queda en auditoría.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El cambio de correo exige verificar el nuevo correo antes de aplicarse.</w:t>
            </w:r>
          </w:p>
        </w:tc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RF-04, RF-51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CU-04, CU-11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Media</w:t>
            </w:r>
          </w:p>
        </w:tc>
      </w:tr>
      <w:tr>
        <w:trPr>
          <w:cantSplit/>
        </w:trPr>
        <w:tc>
          <w:tcPr>
            <w:tcW w:type="dxa" w:w="8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CP-13</w:t>
            </w:r>
          </w:p>
        </w:tc>
        <w:tc>
          <w:tcPr>
            <w:tcW w:type="dxa" w:w="20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Reserva express como invitado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Pre: Sin sesión iniciada.</w:t>
            </w:r>
          </w:p>
        </w:tc>
        <w:tc>
          <w:tcPr>
            <w:tcW w:type="dxa" w:w="273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1. Seleccionar «Continuar como invitado».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2. Cerrar el pop-up de promoción.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3. Agendar entregando solo nombre y teléfono.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4. Navegar a otra pantalla y volver.</w:t>
            </w:r>
          </w:p>
        </w:tc>
        <w:tc>
          <w:tcPr>
            <w:tcW w:type="dxa" w:w="2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El pop-up se muestra una vez por sesión, con la casilla promocional desmarcada.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Se solicita solo nombre y teléfono.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Se registra el consentimiento de servicio; no se registra consentimiento promocional.</w:t>
            </w:r>
          </w:p>
        </w:tc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RF-03, RF-48, RF-49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CU-05, CU-06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Alta</w:t>
            </w:r>
          </w:p>
        </w:tc>
      </w:tr>
      <w:tr>
        <w:trPr>
          <w:cantSplit/>
        </w:trPr>
        <w:tc>
          <w:tcPr>
            <w:tcW w:type="dxa" w:w="8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CP-14</w:t>
            </w:r>
          </w:p>
        </w:tc>
        <w:tc>
          <w:tcPr>
            <w:tcW w:type="dxa" w:w="20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Invitado decide registrarse desde el pop-up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Pre: Invitado con servicio y horario seleccionados.</w:t>
            </w:r>
          </w:p>
        </w:tc>
        <w:tc>
          <w:tcPr>
            <w:tcW w:type="dxa" w:w="273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1. Elegir «Crear perfil» en el pop-up.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2. Completar el registro.</w:t>
            </w:r>
          </w:p>
        </w:tc>
        <w:tc>
          <w:tcPr>
            <w:tcW w:type="dxa" w:w="2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Se crea la cuenta (CU-01) y se conserva la selección de servicio y horario.</w:t>
            </w:r>
          </w:p>
        </w:tc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RF-03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CU-05 A1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Alta</w:t>
            </w:r>
          </w:p>
        </w:tc>
      </w:tr>
      <w:tr>
        <w:trPr>
          <w:cantSplit/>
        </w:trPr>
        <w:tc>
          <w:tcPr>
            <w:tcW w:type="dxa" w:w="8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CP-15</w:t>
            </w:r>
          </w:p>
        </w:tc>
        <w:tc>
          <w:tcPr>
            <w:tcW w:type="dxa" w:w="20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Control de acceso por rol y sucursal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Pre: Cajero/a de la sucursal 1, barbero y cliente con sesión.</w:t>
            </w:r>
          </w:p>
        </w:tc>
        <w:tc>
          <w:tcPr>
            <w:tcW w:type="dxa" w:w="273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1. El cajero/a consulta la agenda de la sucursal 2 por la API.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2. El barbero intenta cambiar el estado de una cita.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3. El cliente intenta abrir el dashboard de administración.</w:t>
            </w:r>
          </w:p>
        </w:tc>
        <w:tc>
          <w:tcPr>
            <w:tcW w:type="dxa" w:w="2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Las tres acciones se rechazan (HTTP 403) sin exponer datos.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Cada intento queda en el registro de auditoría.</w:t>
            </w:r>
          </w:p>
        </w:tc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RF-05, RF-57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CU-02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Alta</w:t>
            </w:r>
          </w:p>
        </w:tc>
      </w:tr>
      <w:tr>
        <w:trPr>
          <w:cantSplit/>
        </w:trPr>
        <w:tc>
          <w:tcPr>
            <w:tcW w:type="dxa" w:w="8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CP-16</w:t>
            </w:r>
          </w:p>
        </w:tc>
        <w:tc>
          <w:tcPr>
            <w:tcW w:type="dxa" w:w="20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Cierre de sesión seguro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Pre: Sesión iniciada en la app.</w:t>
            </w:r>
          </w:p>
        </w:tc>
        <w:tc>
          <w:tcPr>
            <w:tcW w:type="dxa" w:w="273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1. Cerrar sesión.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2. Reutilizar el token anterior en una llamada a la API.</w:t>
            </w:r>
          </w:p>
        </w:tc>
        <w:tc>
          <w:tcPr>
            <w:tcW w:type="dxa" w:w="2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El token queda invalidado (HTTP 401) y la app limpia el estado local.</w:t>
            </w:r>
          </w:p>
        </w:tc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RF-06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Media</w:t>
            </w:r>
          </w:p>
        </w:tc>
      </w:tr>
    </w:tbl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1F3864"/>
          <w:sz w:val="24"/>
          <w:szCs w:val="24"/>
        </w:rPr>
        <w:t xml:space="preserve">7.2 Privacidad y derechos del titular («Mis datos»)</w:t>
      </w:r>
    </w:p>
    <w:p>
      <w:pPr>
        <w:keepNext/>
        <w:spacing w:after="120" w:before="0" w:line="276"/>
        <w:jc w:val="both"/>
      </w:pPr>
      <w:r>
        <w:rPr>
          <w:rFonts w:ascii="Arial" w:cs="Arial" w:eastAsia="Arial" w:hAnsi="Arial"/>
          <w:sz w:val="22"/>
          <w:szCs w:val="22"/>
        </w:rPr>
        <w:t xml:space="preserve">Cubre la aceptación de políticas, el consentimiento promocional y el ejercicio de los seis derechos del titular de la Ley N° 21.719 (CU-07 a CU-15).</w:t>
      </w:r>
    </w:p>
    <w:p>
      <w:pPr>
        <w:keepNext/>
        <w:spacing w:after="0" w:before="16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Tabla 6</w:t>
      </w:r>
    </w:p>
    <w:p>
      <w:pPr>
        <w:keepNext/>
        <w:spacing w:after="80" w:before="0"/>
      </w:pPr>
      <w:r>
        <w:rPr>
          <w:rFonts w:ascii="Arial" w:cs="Arial" w:eastAsia="Arial" w:hAnsi="Arial"/>
          <w:i/>
          <w:iCs/>
          <w:sz w:val="21"/>
          <w:szCs w:val="21"/>
        </w:rPr>
        <w:t xml:space="preserve">Casos de prueba — Privacidad y derechos del titular («Mis datos»)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20"/>
        <w:gridCol w:w="2050"/>
        <w:gridCol w:w="2730"/>
        <w:gridCol w:w="2560"/>
        <w:gridCol w:w="1200"/>
      </w:tblGrid>
      <w:tr>
        <w:trPr>
          <w:tblHeader/>
        </w:trPr>
        <w:tc>
          <w:tcPr>
            <w:tcW w:type="dxa" w:w="8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20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Caso y precondición</w:t>
            </w:r>
          </w:p>
        </w:tc>
        <w:tc>
          <w:tcPr>
            <w:tcW w:type="dxa" w:w="273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Pasos y datos</w:t>
            </w:r>
          </w:p>
        </w:tc>
        <w:tc>
          <w:tcPr>
            <w:tcW w:type="dxa" w:w="2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Resultado esperado</w:t>
            </w:r>
          </w:p>
        </w:tc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Traza</w:t>
            </w:r>
          </w:p>
        </w:tc>
      </w:tr>
      <w:tr>
        <w:trPr>
          <w:cantSplit/>
        </w:trPr>
        <w:tc>
          <w:tcPr>
            <w:tcW w:type="dxa" w:w="8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CP-17</w:t>
            </w:r>
          </w:p>
        </w:tc>
        <w:tc>
          <w:tcPr>
            <w:tcW w:type="dxa" w:w="20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Nueva versión sustancial de la política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Pre: Cliente con consentimiento a la versión 1.0; se publica la versión 2.0 marcada como cambio sustancial.</w:t>
            </w:r>
          </w:p>
        </w:tc>
        <w:tc>
          <w:tcPr>
            <w:tcW w:type="dxa" w:w="273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1. El cliente inicia sesión.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2. Acepta la nueva versión.</w:t>
            </w:r>
          </w:p>
        </w:tc>
        <w:tc>
          <w:tcPr>
            <w:tcW w:type="dxa" w:w="2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Se solicita la nueva aceptación antes de continuar.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Se guarda el consentimiento a la versión 2.0 con fecha, finalidad y canal, conservando el anterior.</w:t>
            </w:r>
          </w:p>
        </w:tc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RF-48, RF-61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CU-07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Muy alta</w:t>
            </w:r>
          </w:p>
        </w:tc>
      </w:tr>
      <w:tr>
        <w:trPr>
          <w:cantSplit/>
        </w:trPr>
        <w:tc>
          <w:tcPr>
            <w:tcW w:type="dxa" w:w="8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CP-18</w:t>
            </w:r>
          </w:p>
        </w:tc>
        <w:tc>
          <w:tcPr>
            <w:tcW w:type="dxa" w:w="20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Otorgar y revocar consentimiento promocional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Pre: Cliente sin consentimiento promocional.</w:t>
            </w:r>
          </w:p>
        </w:tc>
        <w:tc>
          <w:tcPr>
            <w:tcW w:type="dxa" w:w="273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1. En «Mis datos › Preferencias de comunicación», activar el consentimiento.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2. Revocarlo con un clic.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3. Enviar una campaña promocional de prueba.</w:t>
            </w:r>
          </w:p>
        </w:tc>
        <w:tc>
          <w:tcPr>
            <w:tcW w:type="dxa" w:w="2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Cada cambio se registra con fecha y versión.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El cliente queda excluido de la campaña del paso 3.</w:t>
            </w:r>
          </w:p>
        </w:tc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RF-49, RF-53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CU-08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Muy alta</w:t>
            </w:r>
          </w:p>
        </w:tc>
      </w:tr>
      <w:tr>
        <w:trPr>
          <w:cantSplit/>
        </w:trPr>
        <w:tc>
          <w:tcPr>
            <w:tcW w:type="dxa" w:w="8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CP-19</w:t>
            </w:r>
          </w:p>
        </w:tc>
        <w:tc>
          <w:tcPr>
            <w:tcW w:type="dxa" w:w="20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Crear solicitud de derecho del titular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Pre: Sesión de cliente iniciada.</w:t>
            </w:r>
          </w:p>
        </w:tc>
        <w:tc>
          <w:tcPr>
            <w:tcW w:type="dxa" w:w="273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1. Abrir «Mis datos» y seleccionar «Supresión».</w:t>
            </w:r>
          </w:p>
        </w:tc>
        <w:tc>
          <w:tcPr>
            <w:tcW w:type="dxa" w:w="2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Se crea la solicitud con folio y fecha límite = fecha de recepción + 30 días corridos.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Se envía confirmación de recepción por correo.</w:t>
            </w:r>
          </w:p>
        </w:tc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RF-56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CU-09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Muy alta</w:t>
            </w:r>
          </w:p>
        </w:tc>
      </w:tr>
      <w:tr>
        <w:trPr>
          <w:cantSplit/>
        </w:trPr>
        <w:tc>
          <w:tcPr>
            <w:tcW w:type="dxa" w:w="8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CP-20</w:t>
            </w:r>
          </w:p>
        </w:tc>
        <w:tc>
          <w:tcPr>
            <w:tcW w:type="dxa" w:w="20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Solicitud de invitado sin identidad verificable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Pre: Invitado que no completa la verificación por correo o teléfono.</w:t>
            </w:r>
          </w:p>
        </w:tc>
        <w:tc>
          <w:tcPr>
            <w:tcW w:type="dxa" w:w="273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1. Solicitar acceso a sus datos como invitado.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2. No completar la verificación.</w:t>
            </w:r>
          </w:p>
        </w:tc>
        <w:tc>
          <w:tcPr>
            <w:tcW w:type="dxa" w:w="2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La solicitud queda en estado EN_VERIFICACION y no se entregan datos.</w:t>
            </w:r>
          </w:p>
        </w:tc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RF-56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CU-09 A1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Muy alta</w:t>
            </w:r>
          </w:p>
        </w:tc>
      </w:tr>
      <w:tr>
        <w:trPr>
          <w:cantSplit/>
        </w:trPr>
        <w:tc>
          <w:tcPr>
            <w:tcW w:type="dxa" w:w="8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CP-21</w:t>
            </w:r>
          </w:p>
        </w:tc>
        <w:tc>
          <w:tcPr>
            <w:tcW w:type="dxa" w:w="20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Derecho de acceso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Pre: Cliente con reservas y pagos de prueba.</w:t>
            </w:r>
          </w:p>
        </w:tc>
        <w:tc>
          <w:tcPr>
            <w:tcW w:type="dxa" w:w="273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1. Solicitar ver sus datos.</w:t>
            </w:r>
          </w:p>
        </w:tc>
        <w:tc>
          <w:tcPr>
            <w:tcW w:type="dxa" w:w="2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Se muestran datos de cuenta, reservas, pagos (sin datos de tarjeta), consentimientos y destinatarios.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La solicitud queda RESPONDIDA.</w:t>
            </w:r>
          </w:p>
        </w:tc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RF-50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CU-10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Muy alta</w:t>
            </w:r>
          </w:p>
        </w:tc>
      </w:tr>
      <w:tr>
        <w:trPr>
          <w:cantSplit/>
        </w:trPr>
        <w:tc>
          <w:tcPr>
            <w:tcW w:type="dxa" w:w="8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CP-22</w:t>
            </w:r>
          </w:p>
        </w:tc>
        <w:tc>
          <w:tcPr>
            <w:tcW w:type="dxa" w:w="20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Derecho de supresión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Pre: Cliente sin citas futuras confirmadas.</w:t>
            </w:r>
          </w:p>
        </w:tc>
        <w:tc>
          <w:tcPr>
            <w:tcW w:type="dxa" w:w="273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1. Solicitar eliminar la cuenta.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2. Revisar el detalle de lo que se conserva y confirmar.</w:t>
            </w:r>
          </w:p>
        </w:tc>
        <w:tc>
          <w:tcPr>
            <w:tcW w:type="dxa" w:w="2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Se informa qué datos se eliminan y cuáles se conservan por obligación legal.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Los datos personales se anonimizan, se revocan consentimientos y se cierran las sesiones.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Los registros de atención y pago se conservan sin vínculo identificable.</w:t>
            </w:r>
          </w:p>
        </w:tc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RF-52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CU-12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Muy alta</w:t>
            </w:r>
          </w:p>
        </w:tc>
      </w:tr>
      <w:tr>
        <w:trPr>
          <w:cantSplit/>
        </w:trPr>
        <w:tc>
          <w:tcPr>
            <w:tcW w:type="dxa" w:w="8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CP-23</w:t>
            </w:r>
          </w:p>
        </w:tc>
        <w:tc>
          <w:tcPr>
            <w:tcW w:type="dxa" w:w="20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Supresión con citas futuras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Pre: Cliente con una reserva CONFIRMADA futura.</w:t>
            </w:r>
          </w:p>
        </w:tc>
        <w:tc>
          <w:tcPr>
            <w:tcW w:type="dxa" w:w="273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1. Solicitar la supresión.</w:t>
            </w:r>
          </w:p>
        </w:tc>
        <w:tc>
          <w:tcPr>
            <w:tcW w:type="dxa" w:w="2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El sistema ofrece cancelar la cita antes de continuar y no suprime mientras exista.</w:t>
            </w:r>
          </w:p>
        </w:tc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RF-52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CU-12 A1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Muy alta</w:t>
            </w:r>
          </w:p>
        </w:tc>
      </w:tr>
      <w:tr>
        <w:trPr>
          <w:cantSplit/>
        </w:trPr>
        <w:tc>
          <w:tcPr>
            <w:tcW w:type="dxa" w:w="8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CP-24</w:t>
            </w:r>
          </w:p>
        </w:tc>
        <w:tc>
          <w:tcPr>
            <w:tcW w:type="dxa" w:w="20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Derecho de oposición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Pre: Cliente con consentimiento promocional vigente.</w:t>
            </w:r>
          </w:p>
        </w:tc>
        <w:tc>
          <w:tcPr>
            <w:tcW w:type="dxa" w:w="273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1. Oponerse al tratamiento «promociones».</w:t>
            </w:r>
          </w:p>
        </w:tc>
        <w:tc>
          <w:tcPr>
            <w:tcW w:type="dxa" w:w="2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El tratamiento se detiene de inmediato y la oposición queda registrada.</w:t>
            </w:r>
          </w:p>
        </w:tc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RF-53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CU-13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Muy alta</w:t>
            </w:r>
          </w:p>
        </w:tc>
      </w:tr>
      <w:tr>
        <w:trPr>
          <w:cantSplit/>
        </w:trPr>
        <w:tc>
          <w:tcPr>
            <w:tcW w:type="dxa" w:w="8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CP-25</w:t>
            </w:r>
          </w:p>
        </w:tc>
        <w:tc>
          <w:tcPr>
            <w:tcW w:type="dxa" w:w="20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Derecho de portabilidad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Pre: Cliente con historial de reservas.</w:t>
            </w:r>
          </w:p>
        </w:tc>
        <w:tc>
          <w:tcPr>
            <w:tcW w:type="dxa" w:w="273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1. Solicitar la descarga de sus datos.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2. Medir el tiempo de generación.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3. Abrir el enlace después de 24 h.</w:t>
            </w:r>
          </w:p>
        </w:tc>
        <w:tc>
          <w:tcPr>
            <w:tcW w:type="dxa" w:w="2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Se generan archivos JSON y CSV legibles en menos de 1 minuto.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El enlace temporal deja de funcionar después de 24 h.</w:t>
            </w:r>
          </w:p>
        </w:tc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RF-54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CU-14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Muy alta</w:t>
            </w:r>
          </w:p>
        </w:tc>
      </w:tr>
      <w:tr>
        <w:trPr>
          <w:cantSplit/>
        </w:trPr>
        <w:tc>
          <w:tcPr>
            <w:tcW w:type="dxa" w:w="8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CP-26</w:t>
            </w:r>
          </w:p>
        </w:tc>
        <w:tc>
          <w:tcPr>
            <w:tcW w:type="dxa" w:w="20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Derecho de bloqueo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Pre: Cliente con consentimiento promocional vigente.</w:t>
            </w:r>
          </w:p>
        </w:tc>
        <w:tc>
          <w:tcPr>
            <w:tcW w:type="dxa" w:w="273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1. Solicitar el bloqueo temporal.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2. Iniciar sesión nuevamente.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3. Enviar una campaña promocional de prueba.</w:t>
            </w:r>
          </w:p>
        </w:tc>
        <w:tc>
          <w:tcPr>
            <w:tcW w:type="dxa" w:w="2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La cuenta queda BLOQUEADA y se informa el estado al iniciar sesión.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Se detienen los usos no esenciales: el cliente no recibe la campaña.</w:t>
            </w:r>
          </w:p>
        </w:tc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RF-55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CU-15, CU-02 A3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Alta</w:t>
            </w:r>
          </w:p>
        </w:tc>
      </w:tr>
    </w:tbl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1F3864"/>
          <w:sz w:val="24"/>
          <w:szCs w:val="24"/>
        </w:rPr>
        <w:t xml:space="preserve">7.3 Catálogo, agendamiento y pagos</w:t>
      </w:r>
    </w:p>
    <w:p>
      <w:pPr>
        <w:keepNext/>
        <w:spacing w:after="120" w:before="0" w:line="276"/>
        <w:jc w:val="both"/>
      </w:pPr>
      <w:r>
        <w:rPr>
          <w:rFonts w:ascii="Arial" w:cs="Arial" w:eastAsia="Arial" w:hAnsi="Arial"/>
          <w:sz w:val="22"/>
          <w:szCs w:val="22"/>
        </w:rPr>
        <w:t xml:space="preserve">Cubre el flujo asistido de reserva, el cálculo de disponibilidad, el abono de $3.000 con la pasarela, la reprogramación, la cancelación y las notificaciones (CU-16 a CU-25). Las pruebas de pago se ejecutan en el ambiente de integración de Transbank con las tarjetas de prueba que publica el proveedor.</w:t>
      </w:r>
    </w:p>
    <w:p>
      <w:pPr>
        <w:keepNext/>
        <w:spacing w:after="0" w:before="16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Tabla 7</w:t>
      </w:r>
    </w:p>
    <w:p>
      <w:pPr>
        <w:keepNext/>
        <w:spacing w:after="80" w:before="0"/>
      </w:pPr>
      <w:r>
        <w:rPr>
          <w:rFonts w:ascii="Arial" w:cs="Arial" w:eastAsia="Arial" w:hAnsi="Arial"/>
          <w:i/>
          <w:iCs/>
          <w:sz w:val="21"/>
          <w:szCs w:val="21"/>
        </w:rPr>
        <w:t xml:space="preserve">Casos de prueba — Catálogo, agendamiento y pagos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20"/>
        <w:gridCol w:w="2050"/>
        <w:gridCol w:w="2730"/>
        <w:gridCol w:w="2560"/>
        <w:gridCol w:w="1200"/>
      </w:tblGrid>
      <w:tr>
        <w:trPr>
          <w:tblHeader/>
        </w:trPr>
        <w:tc>
          <w:tcPr>
            <w:tcW w:type="dxa" w:w="8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20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Caso y precondición</w:t>
            </w:r>
          </w:p>
        </w:tc>
        <w:tc>
          <w:tcPr>
            <w:tcW w:type="dxa" w:w="273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Pasos y datos</w:t>
            </w:r>
          </w:p>
        </w:tc>
        <w:tc>
          <w:tcPr>
            <w:tcW w:type="dxa" w:w="2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Resultado esperado</w:t>
            </w:r>
          </w:p>
        </w:tc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Traza</w:t>
            </w:r>
          </w:p>
        </w:tc>
      </w:tr>
      <w:tr>
        <w:trPr>
          <w:cantSplit/>
        </w:trPr>
        <w:tc>
          <w:tcPr>
            <w:tcW w:type="dxa" w:w="8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CP-27</w:t>
            </w:r>
          </w:p>
        </w:tc>
        <w:tc>
          <w:tcPr>
            <w:tcW w:type="dxa" w:w="20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Directorio de sucursales y navegación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Pre: Las 3 sucursales están activas.</w:t>
            </w:r>
          </w:p>
        </w:tc>
        <w:tc>
          <w:tcPr>
            <w:tcW w:type="dxa" w:w="273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1. Abrir el directorio de sucursales.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2. Pulsar «Cómo llegar» en Talagante.</w:t>
            </w:r>
          </w:p>
        </w:tc>
        <w:tc>
          <w:tcPr>
            <w:tcW w:type="dxa" w:w="2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Se listan Peñaflor – 21 de Mayo, Peñaflor – Alcalde Luis Araya Cereceda y Talagante con dirección, horario y estado.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Se abre Google Maps o Waze con la ubicación correcta.</w:t>
            </w:r>
          </w:p>
        </w:tc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RF-07, RF-08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CU-17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Alta</w:t>
            </w:r>
          </w:p>
        </w:tc>
      </w:tr>
      <w:tr>
        <w:trPr>
          <w:cantSplit/>
        </w:trPr>
        <w:tc>
          <w:tcPr>
            <w:tcW w:type="dxa" w:w="8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CP-28</w:t>
            </w:r>
          </w:p>
        </w:tc>
        <w:tc>
          <w:tcPr>
            <w:tcW w:type="dxa" w:w="20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Catálogo de servicios y barberos por sucursal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Pre: Un barbero de la sucursal 1 está desactivado.</w:t>
            </w:r>
          </w:p>
        </w:tc>
        <w:tc>
          <w:tcPr>
            <w:tcW w:type="dxa" w:w="273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1. Elegir la sucursal 1 y abrir el catálogo.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2. Abrir el directorio de barberos.</w:t>
            </w:r>
          </w:p>
        </w:tc>
        <w:tc>
          <w:tcPr>
            <w:tcW w:type="dxa" w:w="2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Se muestran servicios con duración y precio en CLP de la sucursal.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Se listan los barberos activos con especialidad y calificación; el desactivado no aparece.</w:t>
            </w:r>
          </w:p>
        </w:tc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RF-09, RF-10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CU-16, CU-18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Alta</w:t>
            </w:r>
          </w:p>
        </w:tc>
      </w:tr>
      <w:tr>
        <w:trPr>
          <w:cantSplit/>
        </w:trPr>
        <w:tc>
          <w:tcPr>
            <w:tcW w:type="dxa" w:w="8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CP-29</w:t>
            </w:r>
          </w:p>
        </w:tc>
        <w:tc>
          <w:tcPr>
            <w:tcW w:type="dxa" w:w="20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Cálculo de disponibilidad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Pre: Barbero con jornada 10:00–19:00, bloqueo 14:00–15:00 y reserva 11:00–11:40; servicio de 40 min.</w:t>
            </w:r>
          </w:p>
        </w:tc>
        <w:tc>
          <w:tcPr>
            <w:tcW w:type="dxa" w:w="273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1. Consultar la disponibilidad del día.</w:t>
            </w:r>
          </w:p>
        </w:tc>
        <w:tc>
          <w:tcPr>
            <w:tcW w:type="dxa" w:w="2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Los bloques ofrecidos excluyen 11:00–11:40 y 14:00–15:00 y respetan la jornada.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Ningún bloque ofrecido se traslapa con otro compromiso.</w:t>
            </w:r>
          </w:p>
        </w:tc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RF-12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CU-19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Muy alta</w:t>
            </w:r>
          </w:p>
        </w:tc>
      </w:tr>
      <w:tr>
        <w:trPr>
          <w:cantSplit/>
        </w:trPr>
        <w:tc>
          <w:tcPr>
            <w:tcW w:type="dxa" w:w="8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CP-30</w:t>
            </w:r>
          </w:p>
        </w:tc>
        <w:tc>
          <w:tcPr>
            <w:tcW w:type="dxa" w:w="20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Fecha sin disponibilidad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Pre: Barbero con la agenda del día completa.</w:t>
            </w:r>
          </w:p>
        </w:tc>
        <w:tc>
          <w:tcPr>
            <w:tcW w:type="dxa" w:w="273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1. Consultar la disponibilidad de ese día.</w:t>
            </w:r>
          </w:p>
        </w:tc>
        <w:tc>
          <w:tcPr>
            <w:tcW w:type="dxa" w:w="2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Se informa que no hay bloques y se sugiere otra fecha, barbero o sucursal.</w:t>
            </w:r>
          </w:p>
        </w:tc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RF-12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CU-19 A1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Muy alta</w:t>
            </w:r>
          </w:p>
        </w:tc>
      </w:tr>
      <w:tr>
        <w:trPr>
          <w:cantSplit/>
        </w:trPr>
        <w:tc>
          <w:tcPr>
            <w:tcW w:type="dxa" w:w="8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CP-31</w:t>
            </w:r>
          </w:p>
        </w:tc>
        <w:tc>
          <w:tcPr>
            <w:tcW w:type="dxa" w:w="20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Asignación de barbero «Cualquiera»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Pre: Dos barberos de la sucursal; solo uno libre a las 16:00.</w:t>
            </w:r>
          </w:p>
        </w:tc>
        <w:tc>
          <w:tcPr>
            <w:tcW w:type="dxa" w:w="273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1. Elegir «Cualquiera» y el bloque de las 16:00.</w:t>
            </w:r>
          </w:p>
        </w:tc>
        <w:tc>
          <w:tcPr>
            <w:tcW w:type="dxa" w:w="2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La reserva se asigna al barbero libre.</w:t>
            </w:r>
          </w:p>
        </w:tc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RF-13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CU-18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Media</w:t>
            </w:r>
          </w:p>
        </w:tc>
      </w:tr>
      <w:tr>
        <w:trPr>
          <w:cantSplit/>
        </w:trPr>
        <w:tc>
          <w:tcPr>
            <w:tcW w:type="dxa" w:w="8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CP-32</w:t>
            </w:r>
          </w:p>
        </w:tc>
        <w:tc>
          <w:tcPr>
            <w:tcW w:type="dxa" w:w="20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Agendamiento completo con abono (camino feliz)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Pre: Cliente con sesión; abono vigente de $3.000.</w:t>
            </w:r>
          </w:p>
        </w:tc>
        <w:tc>
          <w:tcPr>
            <w:tcW w:type="dxa" w:w="273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1. Elegir sucursal → barbero → servicio → fecha → hora.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2. Confirmar el resumen.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3. Pagar con tarjeta de prueba aprobada en la pasarela.</w:t>
            </w:r>
          </w:p>
        </w:tc>
        <w:tc>
          <w:tcPr>
            <w:tcW w:type="dxa" w:w="2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Al confirmar el resumen la reserva queda PENDIENTE_PAGO con vencimiento de 15 min.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Tras el pago: reserva CONFIRMADA y pago AUTORIZADO por $3.000.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Se emite comprobante con código, servicio, sucursal, barbero y hora.</w:t>
            </w:r>
          </w:p>
        </w:tc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RF-11, RF-14, RF-15, RF-16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CU-20, CU-21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Muy alta</w:t>
            </w:r>
          </w:p>
        </w:tc>
      </w:tr>
      <w:tr>
        <w:trPr>
          <w:cantSplit/>
        </w:trPr>
        <w:tc>
          <w:tcPr>
            <w:tcW w:type="dxa" w:w="8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CP-33</w:t>
            </w:r>
          </w:p>
        </w:tc>
        <w:tc>
          <w:tcPr>
            <w:tcW w:type="dxa" w:w="20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Dos clientes reservan el mismo bloque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Pre: Dos sesiones con el mismo barbero y bloque seleccionados.</w:t>
            </w:r>
          </w:p>
        </w:tc>
        <w:tc>
          <w:tcPr>
            <w:tcW w:type="dxa" w:w="273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1. Confirmar ambos resúmenes de forma simultánea.</w:t>
            </w:r>
          </w:p>
        </w:tc>
        <w:tc>
          <w:tcPr>
            <w:tcW w:type="dxa" w:w="2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Solo una reserva se crea; la base de datos rechaza el traslape.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El segundo cliente recibe un mensaje para elegir otro horario.</w:t>
            </w:r>
          </w:p>
        </w:tc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RF-12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CU-20 A1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Muy alta</w:t>
            </w:r>
          </w:p>
        </w:tc>
      </w:tr>
      <w:tr>
        <w:trPr>
          <w:cantSplit/>
        </w:trPr>
        <w:tc>
          <w:tcPr>
            <w:tcW w:type="dxa" w:w="8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CP-34</w:t>
            </w:r>
          </w:p>
        </w:tc>
        <w:tc>
          <w:tcPr>
            <w:tcW w:type="dxa" w:w="20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Pago rechazado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Pre: Reserva en PENDIENTE_PAGO.</w:t>
            </w:r>
          </w:p>
        </w:tc>
        <w:tc>
          <w:tcPr>
            <w:tcW w:type="dxa" w:w="273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1. Pagar con tarjeta de prueba rechazada.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2. Reintentar con tarjeta aprobada antes de 15 min.</w:t>
            </w:r>
          </w:p>
        </w:tc>
        <w:tc>
          <w:tcPr>
            <w:tcW w:type="dxa" w:w="2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Tras el rechazo la reserva sigue PENDIENTE_PAGO y se permite reintentar.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El reintento confirma la reserva.</w:t>
            </w:r>
          </w:p>
        </w:tc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RF-14, RF-15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CU-21 A1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Muy alta</w:t>
            </w:r>
          </w:p>
        </w:tc>
      </w:tr>
      <w:tr>
        <w:trPr>
          <w:cantSplit/>
        </w:trPr>
        <w:tc>
          <w:tcPr>
            <w:tcW w:type="dxa" w:w="8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CP-35</w:t>
            </w:r>
          </w:p>
        </w:tc>
        <w:tc>
          <w:tcPr>
            <w:tcW w:type="dxa" w:w="20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Expiración de reserva impaga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Pre: Reserva en PENDIENTE_PAGO.</w:t>
            </w:r>
          </w:p>
        </w:tc>
        <w:tc>
          <w:tcPr>
            <w:tcW w:type="dxa" w:w="273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1. Abandonar la pasarela sin pagar.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2. Esperar 15 minutos.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3. Consultar la disponibilidad del bloque.</w:t>
            </w:r>
          </w:p>
        </w:tc>
        <w:tc>
          <w:tcPr>
            <w:tcW w:type="dxa" w:w="2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La reserva pasa a EXPIRADA.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El bloque vuelve a estar disponible.</w:t>
            </w:r>
          </w:p>
        </w:tc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RF-40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CU-20 A2, CU-21 A2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Alta</w:t>
            </w:r>
          </w:p>
        </w:tc>
      </w:tr>
      <w:tr>
        <w:trPr>
          <w:cantSplit/>
        </w:trPr>
        <w:tc>
          <w:tcPr>
            <w:tcW w:type="dxa" w:w="8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CP-36</w:t>
            </w:r>
          </w:p>
        </w:tc>
        <w:tc>
          <w:tcPr>
            <w:tcW w:type="dxa" w:w="20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Abono leído desde Configuración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Pre: Sucursal 3 configurada con abono de 20%; existe una reserva previa con abono de $3.000.</w:t>
            </w:r>
          </w:p>
        </w:tc>
        <w:tc>
          <w:tcPr>
            <w:tcW w:type="dxa" w:w="273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1. Agendar en la sucursal 3 un servicio de $11.900.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2. Revisar la reserva previa.</w:t>
            </w:r>
          </w:p>
        </w:tc>
        <w:tc>
          <w:tcPr>
            <w:tcW w:type="dxa" w:w="2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El abono calculado es $2.380 (20% de $11.900).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La reserva previa conserva el abono pagado de $3.000.</w:t>
            </w:r>
          </w:p>
        </w:tc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RF-14, RF-44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CU-21, CU-33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Muy alta</w:t>
            </w:r>
          </w:p>
        </w:tc>
      </w:tr>
      <w:tr>
        <w:trPr>
          <w:cantSplit/>
        </w:trPr>
        <w:tc>
          <w:tcPr>
            <w:tcW w:type="dxa" w:w="8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CP-37</w:t>
            </w:r>
          </w:p>
        </w:tc>
        <w:tc>
          <w:tcPr>
            <w:tcW w:type="dxa" w:w="20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El sistema no guarda datos de tarjeta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Pre: Se ejecutó CP-32.</w:t>
            </w:r>
          </w:p>
        </w:tc>
        <w:tc>
          <w:tcPr>
            <w:tcW w:type="dxa" w:w="273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1. Revisar la tabla de pagos y los logs de la API.</w:t>
            </w:r>
          </w:p>
        </w:tc>
        <w:tc>
          <w:tcPr>
            <w:tcW w:type="dxa" w:w="2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Solo existen proveedor, ID de transacción, monto, estado y tipo de medio.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No hay número, vencimiento ni CVV en la base de datos ni en los logs.</w:t>
            </w:r>
          </w:p>
        </w:tc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RF-15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CU-21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Muy alta</w:t>
            </w:r>
          </w:p>
        </w:tc>
      </w:tr>
      <w:tr>
        <w:trPr>
          <w:cantSplit/>
        </w:trPr>
        <w:tc>
          <w:tcPr>
            <w:tcW w:type="dxa" w:w="8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CP-38</w:t>
            </w:r>
          </w:p>
        </w:tc>
        <w:tc>
          <w:tcPr>
            <w:tcW w:type="dxa" w:w="20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Reprogramación permitida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Pre: Reserva CONFIRMADA a más de 24 h, sin reagendamientos.</w:t>
            </w:r>
          </w:p>
        </w:tc>
        <w:tc>
          <w:tcPr>
            <w:tcW w:type="dxa" w:w="273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1. Elegir «Reprogramar» y un nuevo horario disponible.</w:t>
            </w:r>
          </w:p>
        </w:tc>
        <w:tc>
          <w:tcPr>
            <w:tcW w:type="dxa" w:w="2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La reserva se actualiza con el mismo abono.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El contador de reagendamientos queda en 1 y se registra el historial.</w:t>
            </w:r>
          </w:p>
        </w:tc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RF-39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CU-22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Alta</w:t>
            </w:r>
          </w:p>
        </w:tc>
      </w:tr>
      <w:tr>
        <w:trPr>
          <w:cantSplit/>
        </w:trPr>
        <w:tc>
          <w:tcPr>
            <w:tcW w:type="dxa" w:w="8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CP-39</w:t>
            </w:r>
          </w:p>
        </w:tc>
        <w:tc>
          <w:tcPr>
            <w:tcW w:type="dxa" w:w="20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Tercer reagendamiento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Pre: Reserva con 2 reagendamientos usados.</w:t>
            </w:r>
          </w:p>
        </w:tc>
        <w:tc>
          <w:tcPr>
            <w:tcW w:type="dxa" w:w="273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1. Intentar reprogramar nuevamente.</w:t>
            </w:r>
          </w:p>
        </w:tc>
        <w:tc>
          <w:tcPr>
            <w:tcW w:type="dxa" w:w="2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Se rechaza; se indica que debe cancelar o asistir.</w:t>
            </w:r>
          </w:p>
        </w:tc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RF-39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CU-22 A2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Alta</w:t>
            </w:r>
          </w:p>
        </w:tc>
      </w:tr>
      <w:tr>
        <w:trPr>
          <w:cantSplit/>
        </w:trPr>
        <w:tc>
          <w:tcPr>
            <w:tcW w:type="dxa" w:w="8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CP-40</w:t>
            </w:r>
          </w:p>
        </w:tc>
        <w:tc>
          <w:tcPr>
            <w:tcW w:type="dxa" w:w="20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Reprogramación con menos de 24 h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Pre: Reserva CONFIRMADA dentro de 10 h.</w:t>
            </w:r>
          </w:p>
        </w:tc>
        <w:tc>
          <w:tcPr>
            <w:tcW w:type="dxa" w:w="273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1. Intentar reprogramar.</w:t>
            </w:r>
          </w:p>
        </w:tc>
        <w:tc>
          <w:tcPr>
            <w:tcW w:type="dxa" w:w="2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Se rechaza y se informa que el abono se perderá si no asiste.</w:t>
            </w:r>
          </w:p>
        </w:tc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RF-39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CU-22 A1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Alta</w:t>
            </w:r>
          </w:p>
        </w:tc>
      </w:tr>
      <w:tr>
        <w:trPr>
          <w:cantSplit/>
        </w:trPr>
        <w:tc>
          <w:tcPr>
            <w:tcW w:type="dxa" w:w="8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CP-41</w:t>
            </w:r>
          </w:p>
        </w:tc>
        <w:tc>
          <w:tcPr>
            <w:tcW w:type="dxa" w:w="20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Cancelación con 24 h o más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Pre: Reserva CONFIRMADA a 48 h.</w:t>
            </w:r>
          </w:p>
        </w:tc>
        <w:tc>
          <w:tcPr>
            <w:tcW w:type="dxa" w:w="273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1. Cancelar la reserva.</w:t>
            </w:r>
          </w:p>
        </w:tc>
        <w:tc>
          <w:tcPr>
            <w:tcW w:type="dxa" w:w="2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El abono queda como saldo a favor y cuenta como uso de reagendamiento.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El cupo se libera y se envía el correo de cancelación.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La operación queda en auditoría.</w:t>
            </w:r>
          </w:p>
        </w:tc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RF-18, RF-29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CU-23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Alta</w:t>
            </w:r>
          </w:p>
        </w:tc>
      </w:tr>
      <w:tr>
        <w:trPr>
          <w:cantSplit/>
        </w:trPr>
        <w:tc>
          <w:tcPr>
            <w:tcW w:type="dxa" w:w="8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CP-42</w:t>
            </w:r>
          </w:p>
        </w:tc>
        <w:tc>
          <w:tcPr>
            <w:tcW w:type="dxa" w:w="20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Cancelación con menos de 24 h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Pre: Reserva CONFIRMADA dentro de 5 h.</w:t>
            </w:r>
          </w:p>
        </w:tc>
        <w:tc>
          <w:tcPr>
            <w:tcW w:type="dxa" w:w="273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1. Cancelar la reserva.</w:t>
            </w:r>
          </w:p>
        </w:tc>
        <w:tc>
          <w:tcPr>
            <w:tcW w:type="dxa" w:w="2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El pago queda RETENIDO (abono perdido), el cupo se libera y la regla aplicada queda en auditoría.</w:t>
            </w:r>
          </w:p>
        </w:tc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RF-18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CU-23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Alta</w:t>
            </w:r>
          </w:p>
        </w:tc>
      </w:tr>
      <w:tr>
        <w:trPr>
          <w:cantSplit/>
        </w:trPr>
        <w:tc>
          <w:tcPr>
            <w:tcW w:type="dxa" w:w="8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CP-43</w:t>
            </w:r>
          </w:p>
        </w:tc>
        <w:tc>
          <w:tcPr>
            <w:tcW w:type="dxa" w:w="20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Cancelación por el local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Pre: Reserva CONFIRMADA; cajero/a con sesión.</w:t>
            </w:r>
          </w:p>
        </w:tc>
        <w:tc>
          <w:tcPr>
            <w:tcW w:type="dxa" w:w="273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1. El cajero/a cancela por emergencia del local.</w:t>
            </w:r>
          </w:p>
        </w:tc>
        <w:tc>
          <w:tcPr>
            <w:tcW w:type="dxa" w:w="2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Se solicita a la pasarela la devolución total; el pago queda REEMBOLSADO.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El cliente recibe el aviso de cancelación.</w:t>
            </w:r>
          </w:p>
        </w:tc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RF-18, RF-29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CU-23 A1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Alta</w:t>
            </w:r>
          </w:p>
        </w:tc>
      </w:tr>
      <w:tr>
        <w:trPr>
          <w:cantSplit/>
        </w:trPr>
        <w:tc>
          <w:tcPr>
            <w:tcW w:type="dxa" w:w="8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CP-44</w:t>
            </w:r>
          </w:p>
        </w:tc>
        <w:tc>
          <w:tcPr>
            <w:tcW w:type="dxa" w:w="20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Confirmación y recordatorio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Pre: Reserva confirmada para dentro de 48 h.</w:t>
            </w:r>
          </w:p>
        </w:tc>
        <w:tc>
          <w:tcPr>
            <w:tcW w:type="dxa" w:w="273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1. Confirmar el abono.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2. Adelantar el reloj del ambiente de prueba hasta 24 h antes de la cita.</w:t>
            </w:r>
          </w:p>
        </w:tc>
        <w:tc>
          <w:tcPr>
            <w:tcW w:type="dxa" w:w="2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Se envía el correo de confirmación con el comprobante.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Se envía el recordatorio con opción de reprogramar y se registra en la bandeja interna.</w:t>
            </w:r>
          </w:p>
        </w:tc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RF-28, RF-30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CU-24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Alta</w:t>
            </w:r>
          </w:p>
        </w:tc>
      </w:tr>
      <w:tr>
        <w:trPr>
          <w:cantSplit/>
        </w:trPr>
        <w:tc>
          <w:tcPr>
            <w:tcW w:type="dxa" w:w="8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CP-45</w:t>
            </w:r>
          </w:p>
        </w:tc>
        <w:tc>
          <w:tcPr>
            <w:tcW w:type="dxa" w:w="20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Fallo en el envío de notificaciones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Pre: Servicio de correo simulado con error.</w:t>
            </w:r>
          </w:p>
        </w:tc>
        <w:tc>
          <w:tcPr>
            <w:tcW w:type="dxa" w:w="273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1. Confirmar una reserva.</w:t>
            </w:r>
          </w:p>
        </w:tc>
        <w:tc>
          <w:tcPr>
            <w:tcW w:type="dxa" w:w="2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El sistema reintenta hasta 3 veces; la notificación queda FALLIDA y se avisa en la bandeja interna.</w:t>
            </w:r>
          </w:p>
        </w:tc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RF-30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CU-24 A1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Media</w:t>
            </w:r>
          </w:p>
        </w:tc>
      </w:tr>
      <w:tr>
        <w:trPr>
          <w:cantSplit/>
        </w:trPr>
        <w:tc>
          <w:tcPr>
            <w:tcW w:type="dxa" w:w="8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CP-46</w:t>
            </w:r>
          </w:p>
        </w:tc>
        <w:tc>
          <w:tcPr>
            <w:tcW w:type="dxa" w:w="20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Mis citas e historial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Pre: Cliente con citas futuras, atendidas y canceladas.</w:t>
            </w:r>
          </w:p>
        </w:tc>
        <w:tc>
          <w:tcPr>
            <w:tcW w:type="dxa" w:w="273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1. Abrir «Mis citas».</w:t>
            </w:r>
          </w:p>
        </w:tc>
        <w:tc>
          <w:tcPr>
            <w:tcW w:type="dxa" w:w="2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Se muestran citas futuras y pasadas agrupadas por estado, con abonos y puntos.</w:t>
            </w:r>
          </w:p>
        </w:tc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RF-17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CU-25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Media</w:t>
            </w:r>
          </w:p>
        </w:tc>
      </w:tr>
    </w:tbl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1F3864"/>
          <w:sz w:val="24"/>
          <w:szCs w:val="24"/>
        </w:rPr>
        <w:t xml:space="preserve">7.4 Atención en sucursal (orden de llegada)</w:t>
      </w:r>
    </w:p>
    <w:p>
      <w:pPr>
        <w:keepNext/>
        <w:spacing w:after="120" w:before="0" w:line="276"/>
        <w:jc w:val="both"/>
      </w:pPr>
      <w:r>
        <w:rPr>
          <w:rFonts w:ascii="Arial" w:cs="Arial" w:eastAsia="Arial" w:hAnsi="Arial"/>
          <w:sz w:val="22"/>
          <w:szCs w:val="22"/>
        </w:rPr>
        <w:t xml:space="preserve">Cubre la fila por orden de llegada, la agenda del día, el inicio y término de la atención, el no-show y la consulta del barbero (CU-26 a CU-29 y CU-41).</w:t>
      </w:r>
    </w:p>
    <w:p>
      <w:pPr>
        <w:keepNext/>
        <w:spacing w:after="0" w:before="16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Tabla 8</w:t>
      </w:r>
    </w:p>
    <w:p>
      <w:pPr>
        <w:keepNext/>
        <w:spacing w:after="80" w:before="0"/>
      </w:pPr>
      <w:r>
        <w:rPr>
          <w:rFonts w:ascii="Arial" w:cs="Arial" w:eastAsia="Arial" w:hAnsi="Arial"/>
          <w:i/>
          <w:iCs/>
          <w:sz w:val="21"/>
          <w:szCs w:val="21"/>
        </w:rPr>
        <w:t xml:space="preserve">Casos de prueba — Atención en sucursal (orden de llegada)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20"/>
        <w:gridCol w:w="2050"/>
        <w:gridCol w:w="2730"/>
        <w:gridCol w:w="2560"/>
        <w:gridCol w:w="1200"/>
      </w:tblGrid>
      <w:tr>
        <w:trPr>
          <w:tblHeader/>
        </w:trPr>
        <w:tc>
          <w:tcPr>
            <w:tcW w:type="dxa" w:w="8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20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Caso y precondición</w:t>
            </w:r>
          </w:p>
        </w:tc>
        <w:tc>
          <w:tcPr>
            <w:tcW w:type="dxa" w:w="273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Pasos y datos</w:t>
            </w:r>
          </w:p>
        </w:tc>
        <w:tc>
          <w:tcPr>
            <w:tcW w:type="dxa" w:w="2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Resultado esperado</w:t>
            </w:r>
          </w:p>
        </w:tc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Traza</w:t>
            </w:r>
          </w:p>
        </w:tc>
      </w:tr>
      <w:tr>
        <w:trPr>
          <w:cantSplit/>
        </w:trPr>
        <w:tc>
          <w:tcPr>
            <w:tcW w:type="dxa" w:w="8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CP-47</w:t>
            </w:r>
          </w:p>
        </w:tc>
        <w:tc>
          <w:tcPr>
            <w:tcW w:type="dxa" w:w="20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Registro y llamado de turno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Pre: Sesión de cajero/a de la sucursal 1.</w:t>
            </w:r>
          </w:p>
        </w:tc>
        <w:tc>
          <w:tcPr>
            <w:tcW w:type="dxa" w:w="273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1. Registrar la llegada de un cliente sin reserva (nombre de pila, servicio, barbero preferido).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2. Llamar el turno.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3. Iniciar y cerrar la atención.</w:t>
            </w:r>
          </w:p>
        </w:tc>
        <w:tc>
          <w:tcPr>
            <w:tcW w:type="dxa" w:w="2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Se asigna un número de turno correlativo del día y un tiempo estimado de espera.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El turno pasa por EN_ESPERA → LLAMADO → EN_ATENCION → ATENDIDO.</w:t>
            </w:r>
          </w:p>
        </w:tc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RF-41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CU-26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Alta</w:t>
            </w:r>
          </w:p>
        </w:tc>
      </w:tr>
      <w:tr>
        <w:trPr>
          <w:cantSplit/>
        </w:trPr>
        <w:tc>
          <w:tcPr>
            <w:tcW w:type="dxa" w:w="8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CP-48</w:t>
            </w:r>
          </w:p>
        </w:tc>
        <w:tc>
          <w:tcPr>
            <w:tcW w:type="dxa" w:w="20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Abandono de la fila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Pre: Turno en EN_ESPERA.</w:t>
            </w:r>
          </w:p>
        </w:tc>
        <w:tc>
          <w:tcPr>
            <w:tcW w:type="dxa" w:w="273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1. Marcar ABANDONO.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2. Consultar el KPI de abandono.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3. Revisar el turno después de 24 h.</w:t>
            </w:r>
          </w:p>
        </w:tc>
        <w:tc>
          <w:tcPr>
            <w:tcW w:type="dxa" w:w="2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El turno termina en ABANDONO y se refleja en el KPI.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El nombre de pila se elimina a las 24 h; la estadística es anónima.</w:t>
            </w:r>
          </w:p>
        </w:tc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RF-41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CU-26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Alta</w:t>
            </w:r>
          </w:p>
        </w:tc>
      </w:tr>
      <w:tr>
        <w:trPr>
          <w:cantSplit/>
        </w:trPr>
        <w:tc>
          <w:tcPr>
            <w:tcW w:type="dxa" w:w="8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CP-49</w:t>
            </w:r>
          </w:p>
        </w:tc>
        <w:tc>
          <w:tcPr>
            <w:tcW w:type="dxa" w:w="20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Agenda del día y bloqueo de horario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Pre: Sucursal con reservas y turnos del día.</w:t>
            </w:r>
          </w:p>
        </w:tc>
        <w:tc>
          <w:tcPr>
            <w:tcW w:type="dxa" w:w="273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1. Abrir el dashboard diario.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2. Bloquear 13:00–14:00 de un barbero sin reservas en esa franja.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3. Consultar la disponibilidad como cliente.</w:t>
            </w:r>
          </w:p>
        </w:tc>
        <w:tc>
          <w:tcPr>
            <w:tcW w:type="dxa" w:w="2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Se ven las citas del día por barbero y hora.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El bloque 13:00–14:00 deja de ofrecerse al cliente.</w:t>
            </w:r>
          </w:p>
        </w:tc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RF-31, RF-33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CU-27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Alta</w:t>
            </w:r>
          </w:p>
        </w:tc>
      </w:tr>
      <w:tr>
        <w:trPr>
          <w:cantSplit/>
        </w:trPr>
        <w:tc>
          <w:tcPr>
            <w:tcW w:type="dxa" w:w="8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CP-50</w:t>
            </w:r>
          </w:p>
        </w:tc>
        <w:tc>
          <w:tcPr>
            <w:tcW w:type="dxa" w:w="20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Bloqueo sobre una reserva confirmada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Pre: Barbero con reserva CONFIRMADA a las 17:00.</w:t>
            </w:r>
          </w:p>
        </w:tc>
        <w:tc>
          <w:tcPr>
            <w:tcW w:type="dxa" w:w="273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1. Bloquear 16:30–18:00.</w:t>
            </w:r>
          </w:p>
        </w:tc>
        <w:tc>
          <w:tcPr>
            <w:tcW w:type="dxa" w:w="2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El sistema exige reprogramar o cancelar por el local la reserva afectada antes de aplicar el bloqueo.</w:t>
            </w:r>
          </w:p>
        </w:tc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RF-33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CU-27 A1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Media</w:t>
            </w:r>
          </w:p>
        </w:tc>
      </w:tr>
      <w:tr>
        <w:trPr>
          <w:cantSplit/>
        </w:trPr>
        <w:tc>
          <w:tcPr>
            <w:tcW w:type="dxa" w:w="8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CP-51</w:t>
            </w:r>
          </w:p>
        </w:tc>
        <w:tc>
          <w:tcPr>
            <w:tcW w:type="dxa" w:w="20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Confirmar servicio e iniciar atención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Pre: Reserva CONFIRMADA cuyo horario llegó.</w:t>
            </w:r>
          </w:p>
        </w:tc>
        <w:tc>
          <w:tcPr>
            <w:tcW w:type="dxa" w:w="273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1. El cliente pide cambiar «Corte» por «Corte + barba».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2. El cajero/a confirma el servicio, asigna barbero y marca «En atención».</w:t>
            </w:r>
          </w:p>
        </w:tc>
        <w:tc>
          <w:tcPr>
            <w:tcW w:type="dxa" w:w="2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La atención inicia con el servicio actualizado y el barbero asignado.</w:t>
            </w:r>
          </w:p>
        </w:tc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RF-32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CU-28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Muy alta</w:t>
            </w:r>
          </w:p>
        </w:tc>
      </w:tr>
      <w:tr>
        <w:trPr>
          <w:cantSplit/>
        </w:trPr>
        <w:tc>
          <w:tcPr>
            <w:tcW w:type="dxa" w:w="8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CP-52</w:t>
            </w:r>
          </w:p>
        </w:tc>
        <w:tc>
          <w:tcPr>
            <w:tcW w:type="dxa" w:w="20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Marcar no-show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Pre: Reserva CONFIRMADA; pasaron 15 min desde la hora sin que el cliente llegue.</w:t>
            </w:r>
          </w:p>
        </w:tc>
        <w:tc>
          <w:tcPr>
            <w:tcW w:type="dxa" w:w="273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1. Marcar NO_SHOW.</w:t>
            </w:r>
          </w:p>
        </w:tc>
        <w:tc>
          <w:tcPr>
            <w:tcW w:type="dxa" w:w="2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La reserva queda NO_SHOW y el pago RETENIDO.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Se refleja en el KPI de no-show.</w:t>
            </w:r>
          </w:p>
        </w:tc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RF-43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CU-28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Alta</w:t>
            </w:r>
          </w:p>
        </w:tc>
      </w:tr>
      <w:tr>
        <w:trPr>
          <w:cantSplit/>
        </w:trPr>
        <w:tc>
          <w:tcPr>
            <w:tcW w:type="dxa" w:w="8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CP-53</w:t>
            </w:r>
          </w:p>
        </w:tc>
        <w:tc>
          <w:tcPr>
            <w:tcW w:type="dxa" w:w="20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Solo el cajero/a cambia estados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Pre: Barbero y cliente con sesión.</w:t>
            </w:r>
          </w:p>
        </w:tc>
        <w:tc>
          <w:tcPr>
            <w:tcW w:type="dxa" w:w="273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1. El barbero intenta marcar una cita como atendida.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2. El cliente intenta marcar su cita como atendida por la API.</w:t>
            </w:r>
          </w:p>
        </w:tc>
        <w:tc>
          <w:tcPr>
            <w:tcW w:type="dxa" w:w="2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Ambas acciones se rechazan (HTTP 403) y quedan en auditoría.</w:t>
            </w:r>
          </w:p>
        </w:tc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RF-32, RF-05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CU-28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Muy alta</w:t>
            </w:r>
          </w:p>
        </w:tc>
      </w:tr>
      <w:tr>
        <w:trPr>
          <w:cantSplit/>
        </w:trPr>
        <w:tc>
          <w:tcPr>
            <w:tcW w:type="dxa" w:w="8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CP-54</w:t>
            </w:r>
          </w:p>
        </w:tc>
        <w:tc>
          <w:tcPr>
            <w:tcW w:type="dxa" w:w="20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Registrar término de atención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Pre: Atención en curso de cliente registrado con abono de $3.000.</w:t>
            </w:r>
          </w:p>
        </w:tc>
        <w:tc>
          <w:tcPr>
            <w:tcW w:type="dxa" w:w="273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1. Registrar término: servicio $11.900, abono aplicado $3.000, propina $1.000, medio débito.</w:t>
            </w:r>
          </w:p>
        </w:tc>
        <w:tc>
          <w:tcPr>
            <w:tcW w:type="dxa" w:w="2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La atención queda registrada con el usuario que la registró.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El abono queda APLICADO y el cobro en local es $8.900.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Se acreditan los puntos al cliente.</w:t>
            </w:r>
          </w:p>
        </w:tc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RF-42, RF-20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CU-29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Muy alta</w:t>
            </w:r>
          </w:p>
        </w:tc>
      </w:tr>
      <w:tr>
        <w:trPr>
          <w:cantSplit/>
        </w:trPr>
        <w:tc>
          <w:tcPr>
            <w:tcW w:type="dxa" w:w="8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CP-55</w:t>
            </w:r>
          </w:p>
        </w:tc>
        <w:tc>
          <w:tcPr>
            <w:tcW w:type="dxa" w:w="20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Caja y resumen de ingresos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Pre: Atenciones de prueba registradas en el día.</w:t>
            </w:r>
          </w:p>
        </w:tc>
        <w:tc>
          <w:tcPr>
            <w:tcW w:type="dxa" w:w="273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1. Abrir el resumen de caja del día.</w:t>
            </w:r>
          </w:p>
        </w:tc>
        <w:tc>
          <w:tcPr>
            <w:tcW w:type="dxa" w:w="2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Los totales de abonos aplicados, pagos en local y propinas coinciden con la suma de las atenciones registradas.</w:t>
            </w:r>
          </w:p>
        </w:tc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RF-34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CU-29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Alta</w:t>
            </w:r>
          </w:p>
        </w:tc>
      </w:tr>
      <w:tr>
        <w:trPr>
          <w:cantSplit/>
        </w:trPr>
        <w:tc>
          <w:tcPr>
            <w:tcW w:type="dxa" w:w="8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CP-56</w:t>
            </w:r>
          </w:p>
        </w:tc>
        <w:tc>
          <w:tcPr>
            <w:tcW w:type="dxa" w:w="20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Barbero consulta atenciones y ganancias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Pre: El barbero tiene 3 atenciones registradas en el día.</w:t>
            </w:r>
          </w:p>
        </w:tc>
        <w:tc>
          <w:tcPr>
            <w:tcW w:type="dxa" w:w="273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1. Abrir «Mis atenciones».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2. Intentar editar una atención.</w:t>
            </w:r>
          </w:p>
        </w:tc>
        <w:tc>
          <w:tcPr>
            <w:tcW w:type="dxa" w:w="2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Se ven hora, servicio y monto de cada atención, la cantidad (3) y el total acumulado a la hora de la consulta.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No se muestran datos de contacto de los clientes.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No existe opción de edición y la API rechaza la modificación.</w:t>
            </w:r>
          </w:p>
        </w:tc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RF-62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CU-41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Alta</w:t>
            </w:r>
          </w:p>
        </w:tc>
      </w:tr>
    </w:tbl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1F3864"/>
          <w:sz w:val="24"/>
          <w:szCs w:val="24"/>
        </w:rPr>
        <w:t xml:space="preserve">7.5 Administración y fidelización</w:t>
      </w:r>
    </w:p>
    <w:p>
      <w:pPr>
        <w:keepNext/>
        <w:spacing w:after="120" w:before="0" w:line="276"/>
        <w:jc w:val="both"/>
      </w:pPr>
      <w:r>
        <w:rPr>
          <w:rFonts w:ascii="Arial" w:cs="Arial" w:eastAsia="Arial" w:hAnsi="Arial"/>
          <w:sz w:val="22"/>
          <w:szCs w:val="22"/>
        </w:rPr>
        <w:t xml:space="preserve">Cubre la gestión de servicios, colaboradores, sucursales, parámetros y promociones (CU-30 a CU-34).</w:t>
      </w:r>
    </w:p>
    <w:p>
      <w:pPr>
        <w:keepNext/>
        <w:spacing w:after="0" w:before="16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Tabla 9</w:t>
      </w:r>
    </w:p>
    <w:p>
      <w:pPr>
        <w:keepNext/>
        <w:spacing w:after="80" w:before="0"/>
      </w:pPr>
      <w:r>
        <w:rPr>
          <w:rFonts w:ascii="Arial" w:cs="Arial" w:eastAsia="Arial" w:hAnsi="Arial"/>
          <w:i/>
          <w:iCs/>
          <w:sz w:val="21"/>
          <w:szCs w:val="21"/>
        </w:rPr>
        <w:t xml:space="preserve">Casos de prueba — Administración y fidelización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20"/>
        <w:gridCol w:w="2050"/>
        <w:gridCol w:w="2730"/>
        <w:gridCol w:w="2560"/>
        <w:gridCol w:w="1200"/>
      </w:tblGrid>
      <w:tr>
        <w:trPr>
          <w:tblHeader/>
        </w:trPr>
        <w:tc>
          <w:tcPr>
            <w:tcW w:type="dxa" w:w="8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20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Caso y precondición</w:t>
            </w:r>
          </w:p>
        </w:tc>
        <w:tc>
          <w:tcPr>
            <w:tcW w:type="dxa" w:w="273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Pasos y datos</w:t>
            </w:r>
          </w:p>
        </w:tc>
        <w:tc>
          <w:tcPr>
            <w:tcW w:type="dxa" w:w="2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Resultado esperado</w:t>
            </w:r>
          </w:p>
        </w:tc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Traza</w:t>
            </w:r>
          </w:p>
        </w:tc>
      </w:tr>
      <w:tr>
        <w:trPr>
          <w:cantSplit/>
        </w:trPr>
        <w:tc>
          <w:tcPr>
            <w:tcW w:type="dxa" w:w="8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CP-57</w:t>
            </w:r>
          </w:p>
        </w:tc>
        <w:tc>
          <w:tcPr>
            <w:tcW w:type="dxa" w:w="20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Gestión de servicios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Pre: Sesión del Dueño.</w:t>
            </w:r>
          </w:p>
        </w:tc>
        <w:tc>
          <w:tcPr>
            <w:tcW w:type="dxa" w:w="273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1. Crear un servicio de 45 min y $9.900 en la sucursal 1.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2. Cambiar su precio.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3. Desactivarlo.</w:t>
            </w:r>
          </w:p>
        </w:tc>
        <w:tc>
          <w:tcPr>
            <w:tcW w:type="dxa" w:w="2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El servicio aparece en el catálogo con los valores vigentes y deja de ofrecerse al desactivarlo.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Cada cambio queda en auditoría.</w:t>
            </w:r>
          </w:p>
        </w:tc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RF-35, RF-10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CU-30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Alta</w:t>
            </w:r>
          </w:p>
        </w:tc>
      </w:tr>
      <w:tr>
        <w:trPr>
          <w:cantSplit/>
        </w:trPr>
        <w:tc>
          <w:tcPr>
            <w:tcW w:type="dxa" w:w="8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CP-58</w:t>
            </w:r>
          </w:p>
        </w:tc>
        <w:tc>
          <w:tcPr>
            <w:tcW w:type="dxa" w:w="20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Dueño crea perfil de colaborador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Pre: Sesión del Dueño.</w:t>
            </w:r>
          </w:p>
        </w:tc>
        <w:tc>
          <w:tcPr>
            <w:tcW w:type="dxa" w:w="273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1. Crear un perfil de cajero/a para la sucursal 2.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2. Crear un perfil de barbero con su jornada.</w:t>
            </w:r>
          </w:p>
        </w:tc>
        <w:tc>
          <w:tcPr>
            <w:tcW w:type="dxa" w:w="2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Se genera contraseña temporal con cambio obligatorio en el primer ingreso.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La auditoría registra quién creó cada perfil y cuándo.</w:t>
            </w:r>
          </w:p>
        </w:tc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RF-63, RF-35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CU-31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Muy alta</w:t>
            </w:r>
          </w:p>
        </w:tc>
      </w:tr>
      <w:tr>
        <w:trPr>
          <w:cantSplit/>
        </w:trPr>
        <w:tc>
          <w:tcPr>
            <w:tcW w:type="dxa" w:w="8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CP-59</w:t>
            </w:r>
          </w:p>
        </w:tc>
        <w:tc>
          <w:tcPr>
            <w:tcW w:type="dxa" w:w="20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Colaboradores no pueden crearse por otra vía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Pre: Sesión de cajero/a.</w:t>
            </w:r>
          </w:p>
        </w:tc>
        <w:tc>
          <w:tcPr>
            <w:tcW w:type="dxa" w:w="273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1. El cajero/a intenta crear un barbero por la API.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2. Un usuario intenta autorregistrarse indicando rol Barbero.</w:t>
            </w:r>
          </w:p>
        </w:tc>
        <w:tc>
          <w:tcPr>
            <w:tcW w:type="dxa" w:w="2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Ambas operaciones se rechazan; solo el Dueño asigna roles distintos de Cliente.</w:t>
            </w:r>
          </w:p>
        </w:tc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RF-63, RF-05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CU-31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Muy alta</w:t>
            </w:r>
          </w:p>
        </w:tc>
      </w:tr>
      <w:tr>
        <w:trPr>
          <w:cantSplit/>
        </w:trPr>
        <w:tc>
          <w:tcPr>
            <w:tcW w:type="dxa" w:w="8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CP-60</w:t>
            </w:r>
          </w:p>
        </w:tc>
        <w:tc>
          <w:tcPr>
            <w:tcW w:type="dxa" w:w="20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Desactivación de colaborador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Pre: Barbero con sesión activa.</w:t>
            </w:r>
          </w:p>
        </w:tc>
        <w:tc>
          <w:tcPr>
            <w:tcW w:type="dxa" w:w="273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1. El Dueño desactiva el perfil.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2. El barbero intenta seguir usando la app e iniciar sesión.</w:t>
            </w:r>
          </w:p>
        </w:tc>
        <w:tc>
          <w:tcPr>
            <w:tcW w:type="dxa" w:w="2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Las sesiones activas se cierran y el inicio de sesión es rechazado.</w:t>
            </w:r>
          </w:p>
        </w:tc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RF-63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CU-31 A1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Muy alta</w:t>
            </w:r>
          </w:p>
        </w:tc>
      </w:tr>
      <w:tr>
        <w:trPr>
          <w:cantSplit/>
        </w:trPr>
        <w:tc>
          <w:tcPr>
            <w:tcW w:type="dxa" w:w="8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CP-61</w:t>
            </w:r>
          </w:p>
        </w:tc>
        <w:tc>
          <w:tcPr>
            <w:tcW w:type="dxa" w:w="20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Gestión de sucursales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Pre: Sesión del Dueño.</w:t>
            </w:r>
          </w:p>
        </w:tc>
        <w:tc>
          <w:tcPr>
            <w:tcW w:type="dxa" w:w="273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1. Editar el horario de Talagante.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2. Desactivar una sucursal de prueba.</w:t>
            </w:r>
          </w:p>
        </w:tc>
        <w:tc>
          <w:tcPr>
            <w:tcW w:type="dxa" w:w="2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El directorio muestra el nuevo horario.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La sucursal desactivada no se ofrece para agendar.</w:t>
            </w:r>
          </w:p>
        </w:tc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RF-45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CU-32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Media</w:t>
            </w:r>
          </w:p>
        </w:tc>
      </w:tr>
      <w:tr>
        <w:trPr>
          <w:cantSplit/>
        </w:trPr>
        <w:tc>
          <w:tcPr>
            <w:tcW w:type="dxa" w:w="8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CP-62</w:t>
            </w:r>
          </w:p>
        </w:tc>
        <w:tc>
          <w:tcPr>
            <w:tcW w:type="dxa" w:w="20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Configuración de parámetros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Pre: Sesión del Dueño.</w:t>
            </w:r>
          </w:p>
        </w:tc>
        <w:tc>
          <w:tcPr>
            <w:tcW w:type="dxa" w:w="273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1. Cambiar la anticipación mínima de reagendamiento y el máximo de reagendamientos.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2. Definir un abono por servicio con fecha de vigencia.</w:t>
            </w:r>
          </w:p>
        </w:tc>
        <w:tc>
          <w:tcPr>
            <w:tcW w:type="dxa" w:w="2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Los parámetros se versionan y el cambio queda en auditoría.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Las reservas nuevas usan los valores vigentes desde su fecha.</w:t>
            </w:r>
          </w:p>
        </w:tc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RF-44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CU-33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Alta</w:t>
            </w:r>
          </w:p>
        </w:tc>
      </w:tr>
      <w:tr>
        <w:trPr>
          <w:cantSplit/>
        </w:trPr>
        <w:tc>
          <w:tcPr>
            <w:tcW w:type="dxa" w:w="8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CP-63</w:t>
            </w:r>
          </w:p>
        </w:tc>
        <w:tc>
          <w:tcPr>
            <w:tcW w:type="dxa" w:w="20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Promociones solo con consentimiento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Pre: Un cliente con y otro sin consentimiento promocional.</w:t>
            </w:r>
          </w:p>
        </w:tc>
        <w:tc>
          <w:tcPr>
            <w:tcW w:type="dxa" w:w="273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1. Crear una promoción con vigencia y cupos.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2. Enviarla.</w:t>
            </w:r>
          </w:p>
        </w:tc>
        <w:tc>
          <w:tcPr>
            <w:tcW w:type="dxa" w:w="2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Solo la recibe el cliente con consentimiento vigente.</w:t>
            </w:r>
          </w:p>
        </w:tc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RF-22, RF-49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CU-34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Media</w:t>
            </w:r>
          </w:p>
        </w:tc>
      </w:tr>
      <w:tr>
        <w:trPr>
          <w:cantSplit/>
        </w:trPr>
        <w:tc>
          <w:tcPr>
            <w:tcW w:type="dxa" w:w="8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CP-64</w:t>
            </w:r>
          </w:p>
        </w:tc>
        <w:tc>
          <w:tcPr>
            <w:tcW w:type="dxa" w:w="20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Canje de código promocional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Pre: Un código vigente y otro vencido.</w:t>
            </w:r>
          </w:p>
        </w:tc>
        <w:tc>
          <w:tcPr>
            <w:tcW w:type="dxa" w:w="273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1. Canjear el código vigente.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2. Canjear el código vencido.</w:t>
            </w:r>
          </w:p>
        </w:tc>
        <w:tc>
          <w:tcPr>
            <w:tcW w:type="dxa" w:w="2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El código vigente aplica el descuento; el vencido se rechaza indicando la vigencia.</w:t>
            </w:r>
          </w:p>
        </w:tc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RF-22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CU-34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Media</w:t>
            </w:r>
          </w:p>
        </w:tc>
      </w:tr>
      <w:tr>
        <w:trPr>
          <w:cantSplit/>
        </w:trPr>
        <w:tc>
          <w:tcPr>
            <w:tcW w:type="dxa" w:w="8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CP-65</w:t>
            </w:r>
          </w:p>
        </w:tc>
        <w:tc>
          <w:tcPr>
            <w:tcW w:type="dxa" w:w="20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Ruleta de beneficios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Pre: Cliente registrado sin giros en los últimos 30 días.</w:t>
            </w:r>
          </w:p>
        </w:tc>
        <w:tc>
          <w:tcPr>
            <w:tcW w:type="dxa" w:w="273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1. Girar la ruleta.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2. Intentar girar de nuevo el mismo día.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3. Intentar girar como invitado.</w:t>
            </w:r>
          </w:p>
        </w:tc>
        <w:tc>
          <w:tcPr>
            <w:tcW w:type="dxa" w:w="2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El primer giro entrega un beneficio.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Los pasos 2 y 3 se rechazan.</w:t>
            </w:r>
          </w:p>
        </w:tc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RF-21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Baja</w:t>
            </w:r>
          </w:p>
        </w:tc>
      </w:tr>
      <w:tr>
        <w:trPr>
          <w:cantSplit/>
        </w:trPr>
        <w:tc>
          <w:tcPr>
            <w:tcW w:type="dxa" w:w="8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CP-66</w:t>
            </w:r>
          </w:p>
        </w:tc>
        <w:tc>
          <w:tcPr>
            <w:tcW w:type="dxa" w:w="20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Canje de puntos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Pre: Cliente con puntos suficientes (CP-54).</w:t>
            </w:r>
          </w:p>
        </w:tc>
        <w:tc>
          <w:tcPr>
            <w:tcW w:type="dxa" w:w="273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1. Canjear puntos por un descuento.</w:t>
            </w:r>
          </w:p>
        </w:tc>
        <w:tc>
          <w:tcPr>
            <w:tcW w:type="dxa" w:w="2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Se descuentan los puntos y el beneficio queda disponible.</w:t>
            </w:r>
          </w:p>
        </w:tc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RF-20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CU-29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Media</w:t>
            </w:r>
          </w:p>
        </w:tc>
      </w:tr>
    </w:tbl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1F3864"/>
          <w:sz w:val="24"/>
          <w:szCs w:val="24"/>
        </w:rPr>
        <w:t xml:space="preserve">7.6 Cumplimiento, auditoría y gestión</w:t>
      </w:r>
    </w:p>
    <w:p>
      <w:pPr>
        <w:keepNext/>
        <w:spacing w:after="120" w:before="0" w:line="276"/>
        <w:jc w:val="both"/>
      </w:pPr>
      <w:r>
        <w:rPr>
          <w:rFonts w:ascii="Arial" w:cs="Arial" w:eastAsia="Arial" w:hAnsi="Arial"/>
          <w:sz w:val="22"/>
          <w:szCs w:val="22"/>
        </w:rPr>
        <w:t xml:space="preserve">Cubre la atención de solicitudes, la auditoría, la retención, los incidentes de seguridad, el RAT, las políticas versionadas, los KPIs y los reportes (CU-35 a CU-40).</w:t>
      </w:r>
    </w:p>
    <w:p>
      <w:pPr>
        <w:keepNext/>
        <w:spacing w:after="0" w:before="16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Tabla 10</w:t>
      </w:r>
    </w:p>
    <w:p>
      <w:pPr>
        <w:keepNext/>
        <w:spacing w:after="80" w:before="0"/>
      </w:pPr>
      <w:r>
        <w:rPr>
          <w:rFonts w:ascii="Arial" w:cs="Arial" w:eastAsia="Arial" w:hAnsi="Arial"/>
          <w:i/>
          <w:iCs/>
          <w:sz w:val="21"/>
          <w:szCs w:val="21"/>
        </w:rPr>
        <w:t xml:space="preserve">Casos de prueba — Cumplimiento, auditoría y gestión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20"/>
        <w:gridCol w:w="2050"/>
        <w:gridCol w:w="2730"/>
        <w:gridCol w:w="2560"/>
        <w:gridCol w:w="1200"/>
      </w:tblGrid>
      <w:tr>
        <w:trPr>
          <w:tblHeader/>
        </w:trPr>
        <w:tc>
          <w:tcPr>
            <w:tcW w:type="dxa" w:w="8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20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Caso y precondición</w:t>
            </w:r>
          </w:p>
        </w:tc>
        <w:tc>
          <w:tcPr>
            <w:tcW w:type="dxa" w:w="273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Pasos y datos</w:t>
            </w:r>
          </w:p>
        </w:tc>
        <w:tc>
          <w:tcPr>
            <w:tcW w:type="dxa" w:w="2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Resultado esperado</w:t>
            </w:r>
          </w:p>
        </w:tc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Traza</w:t>
            </w:r>
          </w:p>
        </w:tc>
      </w:tr>
      <w:tr>
        <w:trPr>
          <w:cantSplit/>
        </w:trPr>
        <w:tc>
          <w:tcPr>
            <w:tcW w:type="dxa" w:w="8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CP-67</w:t>
            </w:r>
          </w:p>
        </w:tc>
        <w:tc>
          <w:tcPr>
            <w:tcW w:type="dxa" w:w="20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Atención de solicitudes de derechos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Pre: Solicitudes abiertas con distintas fechas límite.</w:t>
            </w:r>
          </w:p>
        </w:tc>
        <w:tc>
          <w:tcPr>
            <w:tcW w:type="dxa" w:w="273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1. Abrir la bandeja del responsable.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2. Ajustar una solicitud para que venza en 5 días.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3. Responder una solicitud.</w:t>
            </w:r>
          </w:p>
        </w:tc>
        <w:tc>
          <w:tcPr>
            <w:tcW w:type="dxa" w:w="2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La bandeja se ordena por fecha límite.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Se emite alerta 5 días antes del vencimiento.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Se registran respuesta, fecha y responsable.</w:t>
            </w:r>
          </w:p>
        </w:tc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RF-56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CU-35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Muy alta</w:t>
            </w:r>
          </w:p>
        </w:tc>
      </w:tr>
      <w:tr>
        <w:trPr>
          <w:cantSplit/>
        </w:trPr>
        <w:tc>
          <w:tcPr>
            <w:tcW w:type="dxa" w:w="8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CP-68</w:t>
            </w:r>
          </w:p>
        </w:tc>
        <w:tc>
          <w:tcPr>
            <w:tcW w:type="dxa" w:w="20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Prórroga y rechazo fundado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Pre: Solicitud abierta.</w:t>
            </w:r>
          </w:p>
        </w:tc>
        <w:tc>
          <w:tcPr>
            <w:tcW w:type="dxa" w:w="273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1. Prorrogar la solicitud con aviso fundado.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2. Intentar una segunda prórroga.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3. Rechazar otra solicitud improcedente.</w:t>
            </w:r>
          </w:p>
        </w:tc>
        <w:tc>
          <w:tcPr>
            <w:tcW w:type="dxa" w:w="2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La primera prórroga extiende 30 días; la segunda se rechaza.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El rechazo informa el derecho a reclamar ante la Agencia.</w:t>
            </w:r>
          </w:p>
        </w:tc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RF-56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CU-35 A1, A2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Muy alta</w:t>
            </w:r>
          </w:p>
        </w:tc>
      </w:tr>
      <w:tr>
        <w:trPr>
          <w:cantSplit/>
        </w:trPr>
        <w:tc>
          <w:tcPr>
            <w:tcW w:type="dxa" w:w="8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CP-69</w:t>
            </w:r>
          </w:p>
        </w:tc>
        <w:tc>
          <w:tcPr>
            <w:tcW w:type="dxa" w:w="20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Consulta y protección de la auditoría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Pre: Sesión del Dueño.</w:t>
            </w:r>
          </w:p>
        </w:tc>
        <w:tc>
          <w:tcPr>
            <w:tcW w:type="dxa" w:w="273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1. Filtrar la auditoría por usuario y fecha y exportar.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2. Intentar UPDATE y DELETE sobre el registro de auditoría.</w:t>
            </w:r>
          </w:p>
        </w:tc>
        <w:tc>
          <w:tcPr>
            <w:tcW w:type="dxa" w:w="2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La consulta y la exportación quedan auditadas.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La base de datos rechaza la modificación y el borrado.</w:t>
            </w:r>
          </w:p>
        </w:tc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RF-57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CU-36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Alta</w:t>
            </w:r>
          </w:p>
        </w:tc>
      </w:tr>
      <w:tr>
        <w:trPr>
          <w:cantSplit/>
        </w:trPr>
        <w:tc>
          <w:tcPr>
            <w:tcW w:type="dxa" w:w="8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CP-70</w:t>
            </w:r>
          </w:p>
        </w:tc>
        <w:tc>
          <w:tcPr>
            <w:tcW w:type="dxa" w:w="20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Política de retención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Pre: Cuenta inactiva por 24 meses e invitado con última reserva hace 12 meses (datos de prueba).</w:t>
            </w:r>
          </w:p>
        </w:tc>
        <w:tc>
          <w:tcPr>
            <w:tcW w:type="dxa" w:w="273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1. Ejecutar el proceso programado.</w:t>
            </w:r>
          </w:p>
        </w:tc>
        <w:tc>
          <w:tcPr>
            <w:tcW w:type="dxa" w:w="2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Se avisa al titular 30 días antes.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Al vencer, los datos se anonimizan y se registran la ejecución y las cuentas tratadas.</w:t>
            </w:r>
          </w:p>
        </w:tc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RF-58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CU-40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Alta</w:t>
            </w:r>
          </w:p>
        </w:tc>
      </w:tr>
      <w:tr>
        <w:trPr>
          <w:cantSplit/>
        </w:trPr>
        <w:tc>
          <w:tcPr>
            <w:tcW w:type="dxa" w:w="8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CP-71</w:t>
            </w:r>
          </w:p>
        </w:tc>
        <w:tc>
          <w:tcPr>
            <w:tcW w:type="dxa" w:w="20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Gestión de incidente de seguridad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Pre: Sesión del Dueño.</w:t>
            </w:r>
          </w:p>
        </w:tc>
        <w:tc>
          <w:tcPr>
            <w:tcW w:type="dxa" w:w="273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1. Registrar un incidente simulado.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2. Evaluar el riesgo, registrar la notificación y cerrarlo.</w:t>
            </w:r>
          </w:p>
        </w:tc>
        <w:tc>
          <w:tcPr>
            <w:tcW w:type="dxa" w:w="2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El incidente pasa por ABIERTO → CONTENIDO → CERRADO con evaluación, notificaciones y lecciones aprendidas.</w:t>
            </w:r>
          </w:p>
        </w:tc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RF-59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CU-39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Alta</w:t>
            </w:r>
          </w:p>
        </w:tc>
      </w:tr>
      <w:tr>
        <w:trPr>
          <w:cantSplit/>
        </w:trPr>
        <w:tc>
          <w:tcPr>
            <w:tcW w:type="dxa" w:w="8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CP-72</w:t>
            </w:r>
          </w:p>
        </w:tc>
        <w:tc>
          <w:tcPr>
            <w:tcW w:type="dxa" w:w="20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Registro de actividades de tratamiento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Pre: Sesión del Dueño.</w:t>
            </w:r>
          </w:p>
        </w:tc>
        <w:tc>
          <w:tcPr>
            <w:tcW w:type="dxa" w:w="273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1. Consultar y exportar el RAT.</w:t>
            </w:r>
          </w:p>
        </w:tc>
        <w:tc>
          <w:tcPr>
            <w:tcW w:type="dxa" w:w="2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El RAT se exporta con finalidad, base de licitud, categorías de datos, destinatarios y plazos.</w:t>
            </w:r>
          </w:p>
        </w:tc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RF-60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Media</w:t>
            </w:r>
          </w:p>
        </w:tc>
      </w:tr>
      <w:tr>
        <w:trPr>
          <w:cantSplit/>
        </w:trPr>
        <w:tc>
          <w:tcPr>
            <w:tcW w:type="dxa" w:w="8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CP-73</w:t>
            </w:r>
          </w:p>
        </w:tc>
        <w:tc>
          <w:tcPr>
            <w:tcW w:type="dxa" w:w="20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Políticas versionadas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Pre: Política de Privacidad y Términos publicados.</w:t>
            </w:r>
          </w:p>
        </w:tc>
        <w:tc>
          <w:tcPr>
            <w:tcW w:type="dxa" w:w="273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1. Consultar la política vigente.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2. Calcular la huella del texto publicado.</w:t>
            </w:r>
          </w:p>
        </w:tc>
        <w:tc>
          <w:tcPr>
            <w:tcW w:type="dxa" w:w="2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Cada documento muestra versión y fecha; la huella calculada coincide con la registrada.</w:t>
            </w:r>
          </w:p>
        </w:tc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RF-61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CU-07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Alta</w:t>
            </w:r>
          </w:p>
        </w:tc>
      </w:tr>
      <w:tr>
        <w:trPr>
          <w:cantSplit/>
        </w:trPr>
        <w:tc>
          <w:tcPr>
            <w:tcW w:type="dxa" w:w="8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CP-74</w:t>
            </w:r>
          </w:p>
        </w:tc>
        <w:tc>
          <w:tcPr>
            <w:tcW w:type="dxa" w:w="20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Dashboard de KPIs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Pre: Datos de prueba conocidos: 10 turnos en la sucursal 1, 1 abandono.</w:t>
            </w:r>
          </w:p>
        </w:tc>
        <w:tc>
          <w:tcPr>
            <w:tcW w:type="dxa" w:w="273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1. El cajero/a de la sucursal 1 abre el dashboard.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2. El Dueño abre el dashboard.</w:t>
            </w:r>
          </w:p>
        </w:tc>
        <w:tc>
          <w:tcPr>
            <w:tcW w:type="dxa" w:w="2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El abandono de la sucursal 1 es 10%.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El cajero/a solo ve su sucursal; el Dueño ve cada sucursal, el subtotal Peñaflor y el consolidado.</w:t>
            </w:r>
          </w:p>
        </w:tc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RF-46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CU-37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Alta</w:t>
            </w:r>
          </w:p>
        </w:tc>
      </w:tr>
      <w:tr>
        <w:trPr>
          <w:cantSplit/>
        </w:trPr>
        <w:tc>
          <w:tcPr>
            <w:tcW w:type="dxa" w:w="8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CP-75</w:t>
            </w:r>
          </w:p>
        </w:tc>
        <w:tc>
          <w:tcPr>
            <w:tcW w:type="dxa" w:w="20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Reportes exportables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Pre: Atenciones de prueba en las 3 sucursales.</w:t>
            </w:r>
          </w:p>
        </w:tc>
        <w:tc>
          <w:tcPr>
            <w:tcW w:type="dxa" w:w="273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1. Generar el reporte por período, sucursal y barbero en PDF y en Excel.</w:t>
            </w:r>
          </w:p>
        </w:tc>
        <w:tc>
          <w:tcPr>
            <w:tcW w:type="dxa" w:w="2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Ambos archivos se generan, sus totales coinciden con el dashboard y los clientes aparecen seudonimizados.</w:t>
            </w:r>
          </w:p>
        </w:tc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RF-47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CU-38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Alta</w:t>
            </w:r>
          </w:p>
        </w:tc>
      </w:tr>
    </w:tbl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1F3864"/>
          <w:sz w:val="24"/>
          <w:szCs w:val="24"/>
        </w:rPr>
        <w:t xml:space="preserve">7.7 Sincronización multiplataforma</w:t>
      </w:r>
    </w:p>
    <w:p>
      <w:pPr>
        <w:keepNext/>
        <w:spacing w:after="120" w:before="0" w:line="276"/>
        <w:jc w:val="both"/>
      </w:pPr>
      <w:r>
        <w:rPr>
          <w:rFonts w:ascii="Arial" w:cs="Arial" w:eastAsia="Arial" w:hAnsi="Arial"/>
          <w:sz w:val="22"/>
          <w:szCs w:val="22"/>
        </w:rPr>
        <w:t xml:space="preserve">Cubre la operación sin conexión de la app y la coherencia entre web y app sobre la API única.</w:t>
      </w:r>
    </w:p>
    <w:p>
      <w:pPr>
        <w:keepNext/>
        <w:spacing w:after="0" w:before="16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Tabla 11</w:t>
      </w:r>
    </w:p>
    <w:p>
      <w:pPr>
        <w:keepNext/>
        <w:spacing w:after="80" w:before="0"/>
      </w:pPr>
      <w:r>
        <w:rPr>
          <w:rFonts w:ascii="Arial" w:cs="Arial" w:eastAsia="Arial" w:hAnsi="Arial"/>
          <w:i/>
          <w:iCs/>
          <w:sz w:val="21"/>
          <w:szCs w:val="21"/>
        </w:rPr>
        <w:t xml:space="preserve">Casos de prueba — Sincronización multiplataforma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20"/>
        <w:gridCol w:w="2050"/>
        <w:gridCol w:w="2730"/>
        <w:gridCol w:w="2560"/>
        <w:gridCol w:w="1200"/>
      </w:tblGrid>
      <w:tr>
        <w:trPr>
          <w:tblHeader/>
        </w:trPr>
        <w:tc>
          <w:tcPr>
            <w:tcW w:type="dxa" w:w="8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20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Caso y precondición</w:t>
            </w:r>
          </w:p>
        </w:tc>
        <w:tc>
          <w:tcPr>
            <w:tcW w:type="dxa" w:w="273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Pasos y datos</w:t>
            </w:r>
          </w:p>
        </w:tc>
        <w:tc>
          <w:tcPr>
            <w:tcW w:type="dxa" w:w="2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Resultado esperado</w:t>
            </w:r>
          </w:p>
        </w:tc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Traza</w:t>
            </w:r>
          </w:p>
        </w:tc>
      </w:tr>
      <w:tr>
        <w:trPr>
          <w:cantSplit/>
        </w:trPr>
        <w:tc>
          <w:tcPr>
            <w:tcW w:type="dxa" w:w="8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CP-76</w:t>
            </w:r>
          </w:p>
        </w:tc>
        <w:tc>
          <w:tcPr>
            <w:tcW w:type="dxa" w:w="20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Uso de la app sin conexión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Pre: App con datos sincronizados.</w:t>
            </w:r>
          </w:p>
        </w:tc>
        <w:tc>
          <w:tcPr>
            <w:tcW w:type="dxa" w:w="273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1. Activar el modo avión.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2. Abrir catálogo, citas e historial.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3. Editar el teléfono del perfil y reconectar.</w:t>
            </w:r>
          </w:p>
        </w:tc>
        <w:tc>
          <w:tcPr>
            <w:tcW w:type="dxa" w:w="2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La app muestra los datos en caché en modo lectura.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El cambio encolado se sincroniza al reconectar.</w:t>
            </w:r>
          </w:p>
        </w:tc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RF-36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Alta</w:t>
            </w:r>
          </w:p>
        </w:tc>
      </w:tr>
      <w:tr>
        <w:trPr>
          <w:cantSplit/>
        </w:trPr>
        <w:tc>
          <w:tcPr>
            <w:tcW w:type="dxa" w:w="8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CP-77</w:t>
            </w:r>
          </w:p>
        </w:tc>
        <w:tc>
          <w:tcPr>
            <w:tcW w:type="dxa" w:w="20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Coherencia entre web y app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Pre: Mismo cliente con sesión en la web y en la app.</w:t>
            </w:r>
          </w:p>
        </w:tc>
        <w:tc>
          <w:tcPr>
            <w:tcW w:type="dxa" w:w="273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1. Agendar en la web.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2. Refrescar «Mis citas» en la app.</w:t>
            </w:r>
          </w:p>
        </w:tc>
        <w:tc>
          <w:tcPr>
            <w:tcW w:type="dxa" w:w="2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La reserva aparece en la app con el mismo estado y código.</w:t>
            </w:r>
          </w:p>
        </w:tc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RF-37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  <w:p>
            <w:pPr>
              <w:spacing w:after="4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Muy alta</w:t>
            </w:r>
          </w:p>
        </w:tc>
      </w:tr>
    </w:tbl>
    <w:p>
      <w:pPr>
        <w:pStyle w:val="Heading1"/>
        <w:keepNext/>
        <w:spacing w:after="160" w:before="360"/>
      </w:pPr>
      <w:r>
        <w:rPr>
          <w:rFonts w:ascii="Arial" w:cs="Arial" w:eastAsia="Arial" w:hAnsi="Arial"/>
          <w:b/>
          <w:bCs/>
          <w:color w:val="1F3864"/>
          <w:sz w:val="28"/>
          <w:szCs w:val="28"/>
        </w:rPr>
        <w:t xml:space="preserve">8. Pruebas Automatizadas de Base de Datos (Ejecutadas)</w:t>
      </w:r>
    </w:p>
    <w:p>
      <w:pPr>
        <w:spacing w:after="120" w:before="0" w:line="276"/>
        <w:jc w:val="both"/>
      </w:pPr>
      <w:r>
        <w:rPr>
          <w:rFonts w:ascii="Arial" w:cs="Arial" w:eastAsia="Arial" w:hAnsi="Arial"/>
          <w:sz w:val="22"/>
          <w:szCs w:val="22"/>
        </w:rPr>
        <w:t xml:space="preserve">El script validar_sql.mjs carga bigboys_ddl.sql en PostgreSQL embebido (PGlite con btree_gist) e intenta operaciones válidas e inválidas. Una prueba negativa se aprueba cuando la base de datos rechaza la operación. Los archivos están en «Evidencias de sistema/Base de datos».</w:t>
      </w:r>
    </w:p>
    <w:p>
      <w:pPr>
        <w:keepNext/>
        <w:spacing w:after="0" w:before="16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Tabla 12</w:t>
      </w:r>
    </w:p>
    <w:p>
      <w:pPr>
        <w:keepNext/>
        <w:spacing w:after="80" w:before="0"/>
      </w:pPr>
      <w:r>
        <w:rPr>
          <w:rFonts w:ascii="Arial" w:cs="Arial" w:eastAsia="Arial" w:hAnsi="Arial"/>
          <w:i/>
          <w:iCs/>
          <w:sz w:val="21"/>
          <w:szCs w:val="21"/>
        </w:rPr>
        <w:t xml:space="preserve">Resultados de las pruebas de base de datos (ejecución del 08-10-2026)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50"/>
        <w:gridCol w:w="2800"/>
        <w:gridCol w:w="950"/>
        <w:gridCol w:w="2660"/>
        <w:gridCol w:w="950"/>
        <w:gridCol w:w="950"/>
      </w:tblGrid>
      <w:tr>
        <w:trPr>
          <w:tblHeader/>
        </w:trPr>
        <w:tc>
          <w:tcPr>
            <w:tcW w:type="dxa" w:w="10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2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Caso</w:t>
            </w:r>
          </w:p>
        </w:tc>
        <w:tc>
          <w:tcPr>
            <w:tcW w:type="dxa" w:w="9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Tipo</w:t>
            </w:r>
          </w:p>
        </w:tc>
        <w:tc>
          <w:tcPr>
            <w:tcW w:type="dxa" w:w="26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Resultado obtenido</w:t>
            </w:r>
          </w:p>
        </w:tc>
        <w:tc>
          <w:tcPr>
            <w:tcW w:type="dxa" w:w="9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RF</w:t>
            </w:r>
          </w:p>
        </w:tc>
        <w:tc>
          <w:tcPr>
            <w:tcW w:type="dxa" w:w="9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Estado</w:t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CP-BD-01</w:t>
            </w:r>
          </w:p>
        </w:tc>
        <w:tc>
          <w:tcPr>
            <w:tcW w:type="dxa" w:w="2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Script DDL completo ejecutado sin errores</w:t>
            </w:r>
          </w:p>
        </w:tc>
        <w:tc>
          <w:tcPr>
            <w:tcW w:type="dxa" w:w="9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Positivo</w:t>
            </w:r>
          </w:p>
        </w:tc>
        <w:tc>
          <w:tcPr>
            <w:tcW w:type="dxa" w:w="26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Aceptado (26 tablas creadas)</w:t>
            </w:r>
          </w:p>
        </w:tc>
        <w:tc>
          <w:tcPr>
            <w:tcW w:type="dxa" w:w="9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RF-37</w:t>
            </w:r>
          </w:p>
        </w:tc>
        <w:tc>
          <w:tcPr>
            <w:tcW w:type="dxa" w:w="9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Aprobado</w:t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CP-BD-02</w:t>
            </w:r>
          </w:p>
        </w:tc>
        <w:tc>
          <w:tcPr>
            <w:tcW w:type="dxa" w:w="2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Reserva válida</w:t>
            </w:r>
          </w:p>
        </w:tc>
        <w:tc>
          <w:tcPr>
            <w:tcW w:type="dxa" w:w="9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Positivo</w:t>
            </w:r>
          </w:p>
        </w:tc>
        <w:tc>
          <w:tcPr>
            <w:tcW w:type="dxa" w:w="26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Aceptado</w:t>
            </w:r>
          </w:p>
        </w:tc>
        <w:tc>
          <w:tcPr>
            <w:tcW w:type="dxa" w:w="9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RF-11</w:t>
            </w:r>
          </w:p>
        </w:tc>
        <w:tc>
          <w:tcPr>
            <w:tcW w:type="dxa" w:w="9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Aprobado</w:t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CP-BD-03</w:t>
            </w:r>
          </w:p>
        </w:tc>
        <w:tc>
          <w:tcPr>
            <w:tcW w:type="dxa" w:w="2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Doble reserva traslapada (mismo barbero)</w:t>
            </w:r>
          </w:p>
        </w:tc>
        <w:tc>
          <w:tcPr>
            <w:tcW w:type="dxa" w:w="9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Negativo</w:t>
            </w:r>
          </w:p>
        </w:tc>
        <w:tc>
          <w:tcPr>
            <w:tcW w:type="dxa" w:w="26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Rechazado por restricción de exclusión (traslape)</w:t>
            </w:r>
          </w:p>
        </w:tc>
        <w:tc>
          <w:tcPr>
            <w:tcW w:type="dxa" w:w="9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RF-12</w:t>
            </w:r>
          </w:p>
        </w:tc>
        <w:tc>
          <w:tcPr>
            <w:tcW w:type="dxa" w:w="9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Aprobado</w:t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CP-BD-04</w:t>
            </w:r>
          </w:p>
        </w:tc>
        <w:tc>
          <w:tcPr>
            <w:tcW w:type="dxa" w:w="2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Reserva en un horario cancelado previamente</w:t>
            </w:r>
          </w:p>
        </w:tc>
        <w:tc>
          <w:tcPr>
            <w:tcW w:type="dxa" w:w="9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Positivo</w:t>
            </w:r>
          </w:p>
        </w:tc>
        <w:tc>
          <w:tcPr>
            <w:tcW w:type="dxa" w:w="26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Aceptado</w:t>
            </w:r>
          </w:p>
        </w:tc>
        <w:tc>
          <w:tcPr>
            <w:tcW w:type="dxa" w:w="9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RF-12, RF-18</w:t>
            </w:r>
          </w:p>
        </w:tc>
        <w:tc>
          <w:tcPr>
            <w:tcW w:type="dxa" w:w="9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Aprobado</w:t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CP-BD-05</w:t>
            </w:r>
          </w:p>
        </w:tc>
        <w:tc>
          <w:tcPr>
            <w:tcW w:type="dxa" w:w="2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Más de 2 reagendamientos</w:t>
            </w:r>
          </w:p>
        </w:tc>
        <w:tc>
          <w:tcPr>
            <w:tcW w:type="dxa" w:w="9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Negativo</w:t>
            </w:r>
          </w:p>
        </w:tc>
        <w:tc>
          <w:tcPr>
            <w:tcW w:type="dxa" w:w="26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Rechazado por CHECK en reserva</w:t>
            </w:r>
          </w:p>
        </w:tc>
        <w:tc>
          <w:tcPr>
            <w:tcW w:type="dxa" w:w="9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RF-39</w:t>
            </w:r>
          </w:p>
        </w:tc>
        <w:tc>
          <w:tcPr>
            <w:tcW w:type="dxa" w:w="9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Aprobado</w:t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CP-BD-06</w:t>
            </w:r>
          </w:p>
        </w:tc>
        <w:tc>
          <w:tcPr>
            <w:tcW w:type="dxa" w:w="2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Reagendamiento con menos de 24 h</w:t>
            </w:r>
          </w:p>
        </w:tc>
        <w:tc>
          <w:tcPr>
            <w:tcW w:type="dxa" w:w="9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Negativo</w:t>
            </w:r>
          </w:p>
        </w:tc>
        <w:tc>
          <w:tcPr>
            <w:tcW w:type="dxa" w:w="26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Rechazado por CHECK en reagendamiento</w:t>
            </w:r>
          </w:p>
        </w:tc>
        <w:tc>
          <w:tcPr>
            <w:tcW w:type="dxa" w:w="9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RF-39</w:t>
            </w:r>
          </w:p>
        </w:tc>
        <w:tc>
          <w:tcPr>
            <w:tcW w:type="dxa" w:w="9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Aprobado</w:t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CP-BD-07</w:t>
            </w:r>
          </w:p>
        </w:tc>
        <w:tc>
          <w:tcPr>
            <w:tcW w:type="dxa" w:w="2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Cliente invitado sin usuario</w:t>
            </w:r>
          </w:p>
        </w:tc>
        <w:tc>
          <w:tcPr>
            <w:tcW w:type="dxa" w:w="9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Positivo</w:t>
            </w:r>
          </w:p>
        </w:tc>
        <w:tc>
          <w:tcPr>
            <w:tcW w:type="dxa" w:w="26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Aceptado</w:t>
            </w:r>
          </w:p>
        </w:tc>
        <w:tc>
          <w:tcPr>
            <w:tcW w:type="dxa" w:w="9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RF-03</w:t>
            </w:r>
          </w:p>
        </w:tc>
        <w:tc>
          <w:tcPr>
            <w:tcW w:type="dxa" w:w="9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Aprobado</w:t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CP-BD-08</w:t>
            </w:r>
          </w:p>
        </w:tc>
        <w:tc>
          <w:tcPr>
            <w:tcW w:type="dxa" w:w="2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Cliente no invitado sin usuario</w:t>
            </w:r>
          </w:p>
        </w:tc>
        <w:tc>
          <w:tcPr>
            <w:tcW w:type="dxa" w:w="9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Negativo</w:t>
            </w:r>
          </w:p>
        </w:tc>
        <w:tc>
          <w:tcPr>
            <w:tcW w:type="dxa" w:w="26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Rechazado por CHECK en cliente</w:t>
            </w:r>
          </w:p>
        </w:tc>
        <w:tc>
          <w:tcPr>
            <w:tcW w:type="dxa" w:w="9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RF-01, RF-03</w:t>
            </w:r>
          </w:p>
        </w:tc>
        <w:tc>
          <w:tcPr>
            <w:tcW w:type="dxa" w:w="9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Aprobado</w:t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CP-BD-09</w:t>
            </w:r>
          </w:p>
        </w:tc>
        <w:tc>
          <w:tcPr>
            <w:tcW w:type="dxa" w:w="2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Pago sin datos de tarjeta (solo ID y estado)</w:t>
            </w:r>
          </w:p>
        </w:tc>
        <w:tc>
          <w:tcPr>
            <w:tcW w:type="dxa" w:w="9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Positivo</w:t>
            </w:r>
          </w:p>
        </w:tc>
        <w:tc>
          <w:tcPr>
            <w:tcW w:type="dxa" w:w="26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Aceptado</w:t>
            </w:r>
          </w:p>
        </w:tc>
        <w:tc>
          <w:tcPr>
            <w:tcW w:type="dxa" w:w="9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RF-15</w:t>
            </w:r>
          </w:p>
        </w:tc>
        <w:tc>
          <w:tcPr>
            <w:tcW w:type="dxa" w:w="9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Aprobado</w:t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CP-BD-10</w:t>
            </w:r>
          </w:p>
        </w:tc>
        <w:tc>
          <w:tcPr>
            <w:tcW w:type="dxa" w:w="2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Atención sin reserva ni turno</w:t>
            </w:r>
          </w:p>
        </w:tc>
        <w:tc>
          <w:tcPr>
            <w:tcW w:type="dxa" w:w="9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Negativo</w:t>
            </w:r>
          </w:p>
        </w:tc>
        <w:tc>
          <w:tcPr>
            <w:tcW w:type="dxa" w:w="26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Rechazado por CHECK en atencion</w:t>
            </w:r>
          </w:p>
        </w:tc>
        <w:tc>
          <w:tcPr>
            <w:tcW w:type="dxa" w:w="9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RF-42</w:t>
            </w:r>
          </w:p>
        </w:tc>
        <w:tc>
          <w:tcPr>
            <w:tcW w:type="dxa" w:w="9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Aprobado</w:t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CP-BD-11</w:t>
            </w:r>
          </w:p>
        </w:tc>
        <w:tc>
          <w:tcPr>
            <w:tcW w:type="dxa" w:w="2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Turno por orden de llegada con atención asociada</w:t>
            </w:r>
          </w:p>
        </w:tc>
        <w:tc>
          <w:tcPr>
            <w:tcW w:type="dxa" w:w="9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Positivo</w:t>
            </w:r>
          </w:p>
        </w:tc>
        <w:tc>
          <w:tcPr>
            <w:tcW w:type="dxa" w:w="26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Aceptado</w:t>
            </w:r>
          </w:p>
        </w:tc>
        <w:tc>
          <w:tcPr>
            <w:tcW w:type="dxa" w:w="9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RF-41, RF-42</w:t>
            </w:r>
          </w:p>
        </w:tc>
        <w:tc>
          <w:tcPr>
            <w:tcW w:type="dxa" w:w="9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Aprobado</w:t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CP-BD-12</w:t>
            </w:r>
          </w:p>
        </w:tc>
        <w:tc>
          <w:tcPr>
            <w:tcW w:type="dxa" w:w="2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Atención sin cajero/a que la registre</w:t>
            </w:r>
          </w:p>
        </w:tc>
        <w:tc>
          <w:tcPr>
            <w:tcW w:type="dxa" w:w="9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Negativo</w:t>
            </w:r>
          </w:p>
        </w:tc>
        <w:tc>
          <w:tcPr>
            <w:tcW w:type="dxa" w:w="26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Rechazado: registrada_por es obligatorio</w:t>
            </w:r>
          </w:p>
        </w:tc>
        <w:tc>
          <w:tcPr>
            <w:tcW w:type="dxa" w:w="9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RF-42</w:t>
            </w:r>
          </w:p>
        </w:tc>
        <w:tc>
          <w:tcPr>
            <w:tcW w:type="dxa" w:w="9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Aprobado</w:t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CP-BD-13</w:t>
            </w:r>
          </w:p>
        </w:tc>
        <w:tc>
          <w:tcPr>
            <w:tcW w:type="dxa" w:w="2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Solicitud de derecho calcula plazo de 30 días</w:t>
            </w:r>
          </w:p>
        </w:tc>
        <w:tc>
          <w:tcPr>
            <w:tcW w:type="dxa" w:w="9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Positivo</w:t>
            </w:r>
          </w:p>
        </w:tc>
        <w:tc>
          <w:tcPr>
            <w:tcW w:type="dxa" w:w="26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Aceptado (plazo calculado: 30 días)</w:t>
            </w:r>
          </w:p>
        </w:tc>
        <w:tc>
          <w:tcPr>
            <w:tcW w:type="dxa" w:w="9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RF-56</w:t>
            </w:r>
          </w:p>
        </w:tc>
        <w:tc>
          <w:tcPr>
            <w:tcW w:type="dxa" w:w="9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Aprobado</w:t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CP-BD-14</w:t>
            </w:r>
          </w:p>
        </w:tc>
        <w:tc>
          <w:tcPr>
            <w:tcW w:type="dxa" w:w="2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Auditoría de solo inserción (UPDATE)</w:t>
            </w:r>
          </w:p>
        </w:tc>
        <w:tc>
          <w:tcPr>
            <w:tcW w:type="dxa" w:w="9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Negativo</w:t>
            </w:r>
          </w:p>
        </w:tc>
        <w:tc>
          <w:tcPr>
            <w:tcW w:type="dxa" w:w="26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Rechazado: registro_auditoria es de solo inserción</w:t>
            </w:r>
          </w:p>
        </w:tc>
        <w:tc>
          <w:tcPr>
            <w:tcW w:type="dxa" w:w="9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RF-57</w:t>
            </w:r>
          </w:p>
        </w:tc>
        <w:tc>
          <w:tcPr>
            <w:tcW w:type="dxa" w:w="9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Aprobado</w:t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CP-BD-15</w:t>
            </w:r>
          </w:p>
        </w:tc>
        <w:tc>
          <w:tcPr>
            <w:tcW w:type="dxa" w:w="2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Abono por porcentaje en una sucursal sin cambiar el modelo</w:t>
            </w:r>
          </w:p>
        </w:tc>
        <w:tc>
          <w:tcPr>
            <w:tcW w:type="dxa" w:w="9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Positivo</w:t>
            </w:r>
          </w:p>
        </w:tc>
        <w:tc>
          <w:tcPr>
            <w:tcW w:type="dxa" w:w="26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Aceptado (sucursal 3: 20%)</w:t>
            </w:r>
          </w:p>
        </w:tc>
        <w:tc>
          <w:tcPr>
            <w:tcW w:type="dxa" w:w="9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RF-14, RF-44</w:t>
            </w:r>
          </w:p>
        </w:tc>
        <w:tc>
          <w:tcPr>
            <w:tcW w:type="dxa" w:w="9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Aprobado</w:t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CP-BD-16</w:t>
            </w:r>
          </w:p>
        </w:tc>
        <w:tc>
          <w:tcPr>
            <w:tcW w:type="dxa" w:w="2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Asignación del primer Dueño (arranque)</w:t>
            </w:r>
          </w:p>
        </w:tc>
        <w:tc>
          <w:tcPr>
            <w:tcW w:type="dxa" w:w="9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Positivo</w:t>
            </w:r>
          </w:p>
        </w:tc>
        <w:tc>
          <w:tcPr>
            <w:tcW w:type="dxa" w:w="26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Aceptado</w:t>
            </w:r>
          </w:p>
        </w:tc>
        <w:tc>
          <w:tcPr>
            <w:tcW w:type="dxa" w:w="9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RF-63</w:t>
            </w:r>
          </w:p>
        </w:tc>
        <w:tc>
          <w:tcPr>
            <w:tcW w:type="dxa" w:w="9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Aprobado</w:t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CP-BD-17</w:t>
            </w:r>
          </w:p>
        </w:tc>
        <w:tc>
          <w:tcPr>
            <w:tcW w:type="dxa" w:w="2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Dueño crea perfil de cajero/a con contraseña temporal</w:t>
            </w:r>
          </w:p>
        </w:tc>
        <w:tc>
          <w:tcPr>
            <w:tcW w:type="dxa" w:w="9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Positivo</w:t>
            </w:r>
          </w:p>
        </w:tc>
        <w:tc>
          <w:tcPr>
            <w:tcW w:type="dxa" w:w="26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Aceptado</w:t>
            </w:r>
          </w:p>
        </w:tc>
        <w:tc>
          <w:tcPr>
            <w:tcW w:type="dxa" w:w="9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RF-63</w:t>
            </w:r>
          </w:p>
        </w:tc>
        <w:tc>
          <w:tcPr>
            <w:tcW w:type="dxa" w:w="9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Aprobado</w:t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CP-BD-18</w:t>
            </w:r>
          </w:p>
        </w:tc>
        <w:tc>
          <w:tcPr>
            <w:tcW w:type="dxa" w:w="2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Colaborador autorregistrado (sin Dueño creador)</w:t>
            </w:r>
          </w:p>
        </w:tc>
        <w:tc>
          <w:tcPr>
            <w:tcW w:type="dxa" w:w="9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Negativo</w:t>
            </w:r>
          </w:p>
        </w:tc>
        <w:tc>
          <w:tcPr>
            <w:tcW w:type="dxa" w:w="26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Rechazado: solo el Dueño puede crear perfiles de colaboradores</w:t>
            </w:r>
          </w:p>
        </w:tc>
        <w:tc>
          <w:tcPr>
            <w:tcW w:type="dxa" w:w="9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RF-63, RF-05</w:t>
            </w:r>
          </w:p>
        </w:tc>
        <w:tc>
          <w:tcPr>
            <w:tcW w:type="dxa" w:w="9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Aprobado</w:t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CP-BD-19</w:t>
            </w:r>
          </w:p>
        </w:tc>
        <w:tc>
          <w:tcPr>
            <w:tcW w:type="dxa" w:w="2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Perfil de colaborador creado por un no-Dueño</w:t>
            </w:r>
          </w:p>
        </w:tc>
        <w:tc>
          <w:tcPr>
            <w:tcW w:type="dxa" w:w="9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Negativo</w:t>
            </w:r>
          </w:p>
        </w:tc>
        <w:tc>
          <w:tcPr>
            <w:tcW w:type="dxa" w:w="26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Rechazado: solo el Dueño puede crear perfiles de colaboradores</w:t>
            </w:r>
          </w:p>
        </w:tc>
        <w:tc>
          <w:tcPr>
            <w:tcW w:type="dxa" w:w="9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RF-63, RF-05</w:t>
            </w:r>
          </w:p>
        </w:tc>
        <w:tc>
          <w:tcPr>
            <w:tcW w:type="dxa" w:w="9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Aprobado</w:t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CP-BD-20</w:t>
            </w:r>
          </w:p>
        </w:tc>
        <w:tc>
          <w:tcPr>
            <w:tcW w:type="dxa" w:w="2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Cliente se autorregistra con rol CLIENTE</w:t>
            </w:r>
          </w:p>
        </w:tc>
        <w:tc>
          <w:tcPr>
            <w:tcW w:type="dxa" w:w="9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Positivo</w:t>
            </w:r>
          </w:p>
        </w:tc>
        <w:tc>
          <w:tcPr>
            <w:tcW w:type="dxa" w:w="26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Aceptado</w:t>
            </w:r>
          </w:p>
        </w:tc>
        <w:tc>
          <w:tcPr>
            <w:tcW w:type="dxa" w:w="9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RF-01</w:t>
            </w:r>
          </w:p>
        </w:tc>
        <w:tc>
          <w:tcPr>
            <w:tcW w:type="dxa" w:w="9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Aprobado</w:t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CP-BD-21</w:t>
            </w:r>
          </w:p>
        </w:tc>
        <w:tc>
          <w:tcPr>
            <w:tcW w:type="dxa" w:w="2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Servicio de más de 60 minutos</w:t>
            </w:r>
          </w:p>
        </w:tc>
        <w:tc>
          <w:tcPr>
            <w:tcW w:type="dxa" w:w="9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Negativo</w:t>
            </w:r>
          </w:p>
        </w:tc>
        <w:tc>
          <w:tcPr>
            <w:tcW w:type="dxa" w:w="26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Rechazado por CHECK en servicio</w:t>
            </w:r>
          </w:p>
        </w:tc>
        <w:tc>
          <w:tcPr>
            <w:tcW w:type="dxa" w:w="9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RF-10, RF-35</w:t>
            </w:r>
          </w:p>
        </w:tc>
        <w:tc>
          <w:tcPr>
            <w:tcW w:type="dxa" w:w="9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Aprobado</w:t>
            </w:r>
          </w:p>
        </w:tc>
      </w:tr>
      <w:tr>
        <w:trPr>
          <w:cantSplit/>
        </w:trPr>
        <w:tc>
          <w:tcPr>
            <w:tcW w:type="dxa" w:w="10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CP-BD-22</w:t>
            </w:r>
          </w:p>
        </w:tc>
        <w:tc>
          <w:tcPr>
            <w:tcW w:type="dxa" w:w="2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Configuración GLOBAL asociada a una sucursal</w:t>
            </w:r>
          </w:p>
        </w:tc>
        <w:tc>
          <w:tcPr>
            <w:tcW w:type="dxa" w:w="9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Negativo</w:t>
            </w:r>
          </w:p>
        </w:tc>
        <w:tc>
          <w:tcPr>
            <w:tcW w:type="dxa" w:w="26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Rechazado por CHECK en configuracion</w:t>
            </w:r>
          </w:p>
        </w:tc>
        <w:tc>
          <w:tcPr>
            <w:tcW w:type="dxa" w:w="9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RF-44</w:t>
            </w:r>
          </w:p>
        </w:tc>
        <w:tc>
          <w:tcPr>
            <w:tcW w:type="dxa" w:w="9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Aprobado</w:t>
            </w:r>
          </w:p>
        </w:tc>
      </w:tr>
    </w:tbl>
    <w:p>
      <w:pPr>
        <w:spacing w:after="200" w:before="60"/>
      </w:pPr>
      <w:r>
        <w:rPr>
          <w:rFonts w:ascii="Arial" w:cs="Arial" w:eastAsia="Arial" w:hAnsi="Arial"/>
          <w:i/>
          <w:iCs/>
          <w:sz w:val="18"/>
          <w:szCs w:val="18"/>
        </w:rPr>
        <w:t xml:space="preserve">Nota. </w:t>
      </w:r>
      <w:r>
        <w:rPr>
          <w:rFonts w:ascii="Arial" w:cs="Arial" w:eastAsia="Arial" w:hAnsi="Arial"/>
          <w:sz w:val="18"/>
          <w:szCs w:val="18"/>
        </w:rPr>
        <w:t xml:space="preserve">Fuente: resultado_validacion_sql.txt. Resultado: 22 de 22 aprobados.</w:t>
      </w:r>
    </w:p>
    <w:p>
      <w:pPr>
        <w:pBdr>
          <w:left w:val="single" w:color="1F3864" w:sz="18" w:space="6"/>
        </w:pBdr>
        <w:shd w:fill="EEF2F8" w:color="auto" w:val="clear"/>
        <w:spacing w:after="160" w:before="120" w:line="264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Observación: </w:t>
      </w:r>
      <w:r>
        <w:rPr>
          <w:rFonts w:ascii="Arial" w:cs="Arial" w:eastAsia="Arial" w:hAnsi="Arial"/>
          <w:sz w:val="20"/>
          <w:szCs w:val="20"/>
        </w:rPr>
        <w:t xml:space="preserve">El Plan de Gestión de la Calidad (09, sección 6) informa 14 casos aprobados el 06-10-2026. La versión actual del script contiene 22 casos, todos aprobados el 08-10-2026; se debe actualizar esa cifra en el documento 09.</w:t>
      </w:r>
    </w:p>
    <w:p>
      <w:pPr>
        <w:pStyle w:val="Heading1"/>
        <w:keepNext/>
        <w:spacing w:after="160" w:before="360"/>
      </w:pPr>
      <w:r>
        <w:rPr>
          <w:rFonts w:ascii="Arial" w:cs="Arial" w:eastAsia="Arial" w:hAnsi="Arial"/>
          <w:b/>
          <w:bCs/>
          <w:color w:val="1F3864"/>
          <w:sz w:val="28"/>
          <w:szCs w:val="28"/>
        </w:rPr>
        <w:t xml:space="preserve">9. Casos de Prueba No Funcionales</w:t>
      </w:r>
    </w:p>
    <w:p>
      <w:pPr>
        <w:keepNext/>
        <w:spacing w:after="0" w:before="16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Tabla 13</w:t>
      </w:r>
    </w:p>
    <w:p>
      <w:pPr>
        <w:keepNext/>
        <w:spacing w:after="80" w:before="0"/>
      </w:pPr>
      <w:r>
        <w:rPr>
          <w:rFonts w:ascii="Arial" w:cs="Arial" w:eastAsia="Arial" w:hAnsi="Arial"/>
          <w:i/>
          <w:iCs/>
          <w:sz w:val="21"/>
          <w:szCs w:val="21"/>
        </w:rPr>
        <w:t xml:space="preserve">Casos de prueba no funcionales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0"/>
        <w:gridCol w:w="1500"/>
        <w:gridCol w:w="2860"/>
        <w:gridCol w:w="2200"/>
        <w:gridCol w:w="800"/>
        <w:gridCol w:w="1000"/>
      </w:tblGrid>
      <w:tr>
        <w:trPr>
          <w:tblHeader/>
        </w:trPr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Caso</w:t>
            </w:r>
          </w:p>
        </w:tc>
        <w:tc>
          <w:tcPr>
            <w:tcW w:type="dxa" w:w="28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Procedimiento</w:t>
            </w:r>
          </w:p>
        </w:tc>
        <w:tc>
          <w:tcPr>
            <w:tcW w:type="dxa" w:w="2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Criterio de aceptación</w:t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RNF</w:t>
            </w:r>
          </w:p>
        </w:tc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Momento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CP-NF-01</w:t>
            </w:r>
          </w:p>
        </w:tc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Rendimiento de disponibilidad y confirmación</w:t>
            </w:r>
          </w:p>
        </w:tc>
        <w:tc>
          <w:tcPr>
            <w:tcW w:type="dxa" w:w="28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Prueba de carga sobre el endpoint de horarios con 50 usuarios concurrentes; medición del tiempo desde el retorno de la pasarela hasta el comprobante; medición del arranque en frío de la app.</w:t>
            </w:r>
          </w:p>
        </w:tc>
        <w:tc>
          <w:tcPr>
            <w:tcW w:type="dxa" w:w="2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Disponibilidad p95 &lt; 200 ms; confirmación &lt; 3 s; inicio de la app &lt; 1,5 s.</w:t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RNF-01</w:t>
            </w:r>
          </w:p>
        </w:tc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Integración (S12–S13)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CP-NF-02</w:t>
            </w:r>
          </w:p>
        </w:tc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Disponibilidad y modo sin conexión</w:t>
            </w:r>
          </w:p>
        </w:tc>
        <w:tc>
          <w:tcPr>
            <w:tcW w:type="dxa" w:w="28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Monitoreo de disponibilidad durante la marcha blanca; corte de red en la app (ver CP-76).</w:t>
            </w:r>
          </w:p>
        </w:tc>
        <w:tc>
          <w:tcPr>
            <w:tcW w:type="dxa" w:w="2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≥ 99,5% en horario de atención; la app opera en modo lectura y sincroniza al reconectar.</w:t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RNF-02</w:t>
            </w:r>
          </w:p>
        </w:tc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Marcha blanca (S14)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CP-NF-03</w:t>
            </w:r>
          </w:p>
        </w:tc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Cifrado y credenciales</w:t>
            </w:r>
          </w:p>
        </w:tc>
        <w:tc>
          <w:tcPr>
            <w:tcW w:type="dxa" w:w="28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Intento de conexión con TLS 1.0/1.1; inspección de la columna password_hash; escaneo de secretos en el repositorio.</w:t>
            </w:r>
          </w:p>
        </w:tc>
        <w:tc>
          <w:tcPr>
            <w:tcW w:type="dxa" w:w="2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Solo TLS 1.2+; hashes Argon2id o bcrypt; cero secretos en el código.</w:t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RNF-03</w:t>
            </w:r>
          </w:p>
        </w:tc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Seguridad (S13)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CP-NF-04</w:t>
            </w:r>
          </w:p>
        </w:tc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OWASP Top 10 básico</w:t>
            </w:r>
          </w:p>
        </w:tc>
        <w:tc>
          <w:tcPr>
            <w:tcW w:type="dxa" w:w="28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Pruebas de inyección SQL, XSS, control de acceso roto (consultar la reserva de otro cliente cambiando el ID) y configuración insegura.</w:t>
            </w:r>
          </w:p>
        </w:tc>
        <w:tc>
          <w:tcPr>
            <w:tcW w:type="dxa" w:w="2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Ninguna vulnerabilidad crítica o alta abierta.</w:t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RNF-03</w:t>
            </w:r>
          </w:p>
        </w:tc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Seguridad (S13)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CP-NF-05</w:t>
            </w:r>
          </w:p>
        </w:tc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Usabilidad del agendamiento</w:t>
            </w:r>
          </w:p>
        </w:tc>
        <w:tc>
          <w:tcPr>
            <w:tcW w:type="dxa" w:w="28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5 usuarios nuevos agendan sin ayuda; revisión de tamaño táctil y contraste.</w:t>
            </w:r>
          </w:p>
        </w:tc>
        <w:tc>
          <w:tcPr>
            <w:tcW w:type="dxa" w:w="2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Agendamiento &lt; 60 s; objetivos táctiles ≥ 48×48 dp; contraste WCAG 2.1 AA.</w:t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RNF-04</w:t>
            </w:r>
          </w:p>
        </w:tc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UAT (S13–S14)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CP-NF-06</w:t>
            </w:r>
          </w:p>
        </w:tc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Compatibilidad</w:t>
            </w:r>
          </w:p>
        </w:tc>
        <w:tc>
          <w:tcPr>
            <w:tcW w:type="dxa" w:w="28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Ejecución del flujo CP-32 en Android 8.0 (API 26) y en Chrome, Edge, Firefox y Safari.</w:t>
            </w:r>
          </w:p>
        </w:tc>
        <w:tc>
          <w:tcPr>
            <w:tcW w:type="dxa" w:w="2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El flujo se completa sin errores en todas las plataformas.</w:t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RNF-05</w:t>
            </w:r>
          </w:p>
        </w:tc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Integración (S13)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CP-NF-07</w:t>
            </w:r>
          </w:p>
        </w:tc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Mantenibilidad y arquitectura</w:t>
            </w:r>
          </w:p>
        </w:tc>
        <w:tc>
          <w:tcPr>
            <w:tcW w:type="dxa" w:w="28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Revisión de capas (clientes → API REST → PostgreSQL) y ejecución de las pruebas automatizadas en cada integración.</w:t>
            </w:r>
          </w:p>
        </w:tc>
        <w:tc>
          <w:tcPr>
            <w:tcW w:type="dxa" w:w="2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Sin acceso directo de los clientes a la BD; pruebas automatizadas en verde.</w:t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RNF-06</w:t>
            </w:r>
          </w:p>
        </w:tc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Continuo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CP-NF-08</w:t>
            </w:r>
          </w:p>
        </w:tc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Privacidad por defecto y cumplimiento</w:t>
            </w:r>
          </w:p>
        </w:tc>
        <w:tc>
          <w:tcPr>
            <w:tcW w:type="dxa" w:w="28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Revisión de formularios, logs y reportes; ejecución de los casos CP-17 a CP-26.</w:t>
            </w:r>
          </w:p>
        </w:tc>
        <w:tc>
          <w:tcPr>
            <w:tcW w:type="dxa" w:w="2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Casillas promocionales desmarcadas; logs y reportes sin datos identificables directos; los 6 derechos operativos.</w:t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RNF-07, RNF-08</w:t>
            </w:r>
          </w:p>
        </w:tc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Privacidad (S13)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CP-NF-09</w:t>
            </w:r>
          </w:p>
        </w:tc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Respaldo y recuperación</w:t>
            </w:r>
          </w:p>
        </w:tc>
        <w:tc>
          <w:tcPr>
            <w:tcW w:type="dxa" w:w="28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Restauración del respaldo diario en un ambiente limpio.</w:t>
            </w:r>
          </w:p>
        </w:tc>
        <w:tc>
          <w:tcPr>
            <w:tcW w:type="dxa" w:w="2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Restauración completa en ≤ 4 h (RTO) con pérdida ≤ 24 h (RPO).</w:t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RNF-09</w:t>
            </w:r>
          </w:p>
        </w:tc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Seguridad (S13)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CP-NF-10</w:t>
            </w:r>
          </w:p>
        </w:tc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Trazabilidad</w:t>
            </w:r>
          </w:p>
        </w:tc>
        <w:tc>
          <w:tcPr>
            <w:tcW w:type="dxa" w:w="28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Muestreo de 20 accesos a datos personales y 5 cambios de configuración.</w:t>
            </w:r>
          </w:p>
        </w:tc>
        <w:tc>
          <w:tcPr>
            <w:tcW w:type="dxa" w:w="2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100% con registro en la auditoría.</w:t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RNF-10</w:t>
            </w:r>
          </w:p>
        </w:tc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Privacidad (S13)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CP-NF-11</w:t>
            </w:r>
          </w:p>
        </w:tc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Residencia de datos</w:t>
            </w:r>
          </w:p>
        </w:tc>
        <w:tc>
          <w:tcPr>
            <w:tcW w:type="dxa" w:w="28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Revisión de la región del proveedor de hosting y de los contratos con encargados.</w:t>
            </w:r>
          </w:p>
        </w:tc>
        <w:tc>
          <w:tcPr>
            <w:tcW w:type="dxa" w:w="2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Datos alojados en Chile o transferencias con garantías documentadas.</w:t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RNF-11</w:t>
            </w:r>
          </w:p>
        </w:tc>
        <w:tc>
          <w:tcPr>
            <w:tcW w:type="dxa" w:w="1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Revisión documental (S13)</w:t>
            </w:r>
          </w:p>
        </w:tc>
      </w:tr>
    </w:tbl>
    <w:p>
      <w:pPr>
        <w:pStyle w:val="Heading1"/>
        <w:keepNext/>
        <w:spacing w:after="160" w:before="360"/>
      </w:pPr>
      <w:r>
        <w:rPr>
          <w:rFonts w:ascii="Arial" w:cs="Arial" w:eastAsia="Arial" w:hAnsi="Arial"/>
          <w:b/>
          <w:bCs/>
          <w:color w:val="1F3864"/>
          <w:sz w:val="28"/>
          <w:szCs w:val="28"/>
        </w:rPr>
        <w:t xml:space="preserve">10. Pruebas de Aceptación de Usuario (UAT)</w:t>
      </w:r>
    </w:p>
    <w:p>
      <w:pPr>
        <w:spacing w:after="120" w:before="0" w:line="276"/>
        <w:jc w:val="both"/>
      </w:pPr>
      <w:r>
        <w:rPr>
          <w:rFonts w:ascii="Arial" w:cs="Arial" w:eastAsia="Arial" w:hAnsi="Arial"/>
          <w:sz w:val="22"/>
          <w:szCs w:val="22"/>
        </w:rPr>
        <w:t xml:space="preserve">La UAT se realiza con el/la dueño/a y el personal de las sucursales sobre el ambiente de aceptación. Cada escenario se ejecuta de extremo a extremo y se evalúa con una encuesta de satisfacción de 1 a 5. La aprobación queda en el Acta de aceptación (hito H7).</w:t>
      </w:r>
    </w:p>
    <w:p>
      <w:pPr>
        <w:keepNext/>
        <w:spacing w:after="0" w:before="16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Tabla 14</w:t>
      </w:r>
    </w:p>
    <w:p>
      <w:pPr>
        <w:keepNext/>
        <w:spacing w:after="80" w:before="0"/>
      </w:pPr>
      <w:r>
        <w:rPr>
          <w:rFonts w:ascii="Arial" w:cs="Arial" w:eastAsia="Arial" w:hAnsi="Arial"/>
          <w:i/>
          <w:iCs/>
          <w:sz w:val="21"/>
          <w:szCs w:val="21"/>
        </w:rPr>
        <w:t xml:space="preserve">Escenarios de aceptación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00"/>
        <w:gridCol w:w="2600"/>
        <w:gridCol w:w="1900"/>
        <w:gridCol w:w="1660"/>
        <w:gridCol w:w="2300"/>
      </w:tblGrid>
      <w:tr>
        <w:trPr>
          <w:tblHeader/>
        </w:trPr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Escenario</w:t>
            </w:r>
          </w:p>
        </w:tc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Participantes</w:t>
            </w:r>
          </w:p>
        </w:tc>
        <w:tc>
          <w:tcPr>
            <w:tcW w:type="dxa" w:w="16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Casos cubiertos</w:t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Criterio de aceptación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UAT-01</w:t>
            </w:r>
          </w:p>
        </w:tc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Un cliente nuevo agenda y paga su abono desde la app</w:t>
            </w:r>
          </w:p>
        </w:tc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Cliente (usuario real invitado por el dueño/a)</w:t>
            </w:r>
          </w:p>
        </w:tc>
        <w:tc>
          <w:tcPr>
            <w:tcW w:type="dxa" w:w="16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CP-01, CP-32, CP-44</w:t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Completa la reserva en &lt; 60 s sin ayuda.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UAT-02</w:t>
            </w:r>
          </w:p>
        </w:tc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Día peak por orden de llegada en una sucursal</w:t>
            </w:r>
          </w:p>
        </w:tc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Administrador/a de sucursal</w:t>
            </w:r>
          </w:p>
        </w:tc>
        <w:tc>
          <w:tcPr>
            <w:tcW w:type="dxa" w:w="16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CP-47, CP-48, CP-51, CP-54</w:t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Todos los turnos terminan en ATENDIDO o ABANDONO; ningún registro en Excel.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UAT-03</w:t>
            </w:r>
          </w:p>
        </w:tc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Reprogramación, cancelación y no-show</w:t>
            </w:r>
          </w:p>
        </w:tc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Cliente y administrador/a de sucursal</w:t>
            </w:r>
          </w:p>
        </w:tc>
        <w:tc>
          <w:tcPr>
            <w:tcW w:type="dxa" w:w="16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CP-38, CP-41, CP-42, CP-52</w:t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Las reglas de 24 h y del abono se aplican sin intervención manual.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UAT-04</w:t>
            </w:r>
          </w:p>
        </w:tc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Cierre del día y revisión de KPIs</w:t>
            </w:r>
          </w:p>
        </w:tc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Dueño/a</w:t>
            </w:r>
          </w:p>
        </w:tc>
        <w:tc>
          <w:tcPr>
            <w:tcW w:type="dxa" w:w="16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CP-55, CP-74, CP-75</w:t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Los totales coinciden con la caja física del día.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UAT-05</w:t>
            </w:r>
          </w:p>
        </w:tc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Alta de colaboradores y consulta del barbero</w:t>
            </w:r>
          </w:p>
        </w:tc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Dueño/a y barbero</w:t>
            </w:r>
          </w:p>
        </w:tc>
        <w:tc>
          <w:tcPr>
            <w:tcW w:type="dxa" w:w="16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CP-58, CP-09, CP-56</w:t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El barbero ve sus atenciones y su total acumulado.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UAT-06</w:t>
            </w:r>
          </w:p>
        </w:tc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Ejercicio de un derecho del titular</w:t>
            </w:r>
          </w:p>
        </w:tc>
        <w:tc>
          <w:tcPr>
            <w:tcW w:type="dxa" w:w="1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Cliente y Dueño/a</w:t>
            </w:r>
          </w:p>
        </w:tc>
        <w:tc>
          <w:tcPr>
            <w:tcW w:type="dxa" w:w="16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CP-19, CP-21, CP-67</w:t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La solicitud se responde dentro del plazo y queda trazada.</w:t>
            </w:r>
          </w:p>
        </w:tc>
      </w:tr>
    </w:tbl>
    <w:p>
      <w:pPr>
        <w:pStyle w:val="Heading1"/>
        <w:keepNext/>
        <w:spacing w:after="160" w:before="360"/>
      </w:pPr>
      <w:r>
        <w:rPr>
          <w:rFonts w:ascii="Arial" w:cs="Arial" w:eastAsia="Arial" w:hAnsi="Arial"/>
          <w:b/>
          <w:bCs/>
          <w:color w:val="1F3864"/>
          <w:sz w:val="28"/>
          <w:szCs w:val="28"/>
        </w:rPr>
        <w:t xml:space="preserve">11. Matriz de Trazabilidad Requerimiento – Caso de Prueba</w:t>
      </w:r>
    </w:p>
    <w:p>
      <w:pPr>
        <w:spacing w:after="120" w:before="0" w:line="276"/>
        <w:jc w:val="both"/>
      </w:pPr>
      <w:r>
        <w:rPr>
          <w:rFonts w:ascii="Arial" w:cs="Arial" w:eastAsia="Arial" w:hAnsi="Arial"/>
          <w:sz w:val="22"/>
          <w:szCs w:val="22"/>
        </w:rPr>
        <w:t xml:space="preserve">La matriz vincula cada requerimiento funcional de la V1 con sus casos de uso y casos de prueba. Completa la matriz RF ↔ CU ↔ tablas ↔ casos de prueba prevista en el Plan de Gestión de la Calidad.</w:t>
      </w:r>
    </w:p>
    <w:p>
      <w:pPr>
        <w:keepNext/>
        <w:spacing w:after="0" w:before="16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Tabla 15</w:t>
      </w:r>
    </w:p>
    <w:p>
      <w:pPr>
        <w:keepNext/>
        <w:spacing w:after="80" w:before="0"/>
      </w:pPr>
      <w:r>
        <w:rPr>
          <w:rFonts w:ascii="Arial" w:cs="Arial" w:eastAsia="Arial" w:hAnsi="Arial"/>
          <w:i/>
          <w:iCs/>
          <w:sz w:val="21"/>
          <w:szCs w:val="21"/>
        </w:rPr>
        <w:t xml:space="preserve">Matriz de trazabilidad RF ↔ CU ↔ casos de prueba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00"/>
        <w:gridCol w:w="1100"/>
        <w:gridCol w:w="2000"/>
        <w:gridCol w:w="3260"/>
        <w:gridCol w:w="2100"/>
      </w:tblGrid>
      <w:tr>
        <w:trPr>
          <w:tblHeader/>
        </w:trPr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RF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Prioridad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Casos de uso</w:t>
            </w:r>
          </w:p>
        </w:tc>
        <w:tc>
          <w:tcPr>
            <w:tcW w:type="dxa" w:w="32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Casos funcionales</w:t>
            </w:r>
          </w:p>
        </w:tc>
        <w:tc>
          <w:tcPr>
            <w:tcW w:type="dxa" w:w="2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Pruebas de BD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RF-01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Alta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CU-01</w:t>
            </w:r>
          </w:p>
        </w:tc>
        <w:tc>
          <w:tcPr>
            <w:tcW w:type="dxa" w:w="32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CP-01, CP-02, CP-03, CP-04</w:t>
            </w:r>
          </w:p>
        </w:tc>
        <w:tc>
          <w:tcPr>
            <w:tcW w:type="dxa" w:w="2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CP-BD-08, CP-BD-20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RF-02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Alta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CU-02</w:t>
            </w:r>
          </w:p>
        </w:tc>
        <w:tc>
          <w:tcPr>
            <w:tcW w:type="dxa" w:w="32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CP-06, CP-07, CP-08, CP-09</w:t>
            </w:r>
          </w:p>
        </w:tc>
        <w:tc>
          <w:tcPr>
            <w:tcW w:type="dxa" w:w="2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RF-03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Alta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CU-05, CU-06</w:t>
            </w:r>
          </w:p>
        </w:tc>
        <w:tc>
          <w:tcPr>
            <w:tcW w:type="dxa" w:w="32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CP-13, CP-14</w:t>
            </w:r>
          </w:p>
        </w:tc>
        <w:tc>
          <w:tcPr>
            <w:tcW w:type="dxa" w:w="2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CP-BD-07, CP-BD-08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RF-04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Media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CU-04</w:t>
            </w:r>
          </w:p>
        </w:tc>
        <w:tc>
          <w:tcPr>
            <w:tcW w:type="dxa" w:w="32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CP-12</w:t>
            </w:r>
          </w:p>
        </w:tc>
        <w:tc>
          <w:tcPr>
            <w:tcW w:type="dxa" w:w="2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RF-05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Alta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CU-02, CU-31</w:t>
            </w:r>
          </w:p>
        </w:tc>
        <w:tc>
          <w:tcPr>
            <w:tcW w:type="dxa" w:w="32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CP-06, CP-15, CP-53, CP-59</w:t>
            </w:r>
          </w:p>
        </w:tc>
        <w:tc>
          <w:tcPr>
            <w:tcW w:type="dxa" w:w="2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CP-BD-18, CP-BD-19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RF-06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Media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32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CP-16</w:t>
            </w:r>
          </w:p>
        </w:tc>
        <w:tc>
          <w:tcPr>
            <w:tcW w:type="dxa" w:w="2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RF-07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Alta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CU-17</w:t>
            </w:r>
          </w:p>
        </w:tc>
        <w:tc>
          <w:tcPr>
            <w:tcW w:type="dxa" w:w="32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CP-27</w:t>
            </w:r>
          </w:p>
        </w:tc>
        <w:tc>
          <w:tcPr>
            <w:tcW w:type="dxa" w:w="2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RF-08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Baja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CU-17</w:t>
            </w:r>
          </w:p>
        </w:tc>
        <w:tc>
          <w:tcPr>
            <w:tcW w:type="dxa" w:w="32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CP-27</w:t>
            </w:r>
          </w:p>
        </w:tc>
        <w:tc>
          <w:tcPr>
            <w:tcW w:type="dxa" w:w="2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RF-09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Media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CU-18</w:t>
            </w:r>
          </w:p>
        </w:tc>
        <w:tc>
          <w:tcPr>
            <w:tcW w:type="dxa" w:w="32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CP-28</w:t>
            </w:r>
          </w:p>
        </w:tc>
        <w:tc>
          <w:tcPr>
            <w:tcW w:type="dxa" w:w="2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RF-10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Alta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CU-16, CU-30</w:t>
            </w:r>
          </w:p>
        </w:tc>
        <w:tc>
          <w:tcPr>
            <w:tcW w:type="dxa" w:w="32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CP-28, CP-57</w:t>
            </w:r>
          </w:p>
        </w:tc>
        <w:tc>
          <w:tcPr>
            <w:tcW w:type="dxa" w:w="2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CP-BD-21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RF-11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Muy alta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CU-20</w:t>
            </w:r>
          </w:p>
        </w:tc>
        <w:tc>
          <w:tcPr>
            <w:tcW w:type="dxa" w:w="32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CP-32</w:t>
            </w:r>
          </w:p>
        </w:tc>
        <w:tc>
          <w:tcPr>
            <w:tcW w:type="dxa" w:w="2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CP-BD-02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RF-12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Muy alta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CU-19</w:t>
            </w:r>
          </w:p>
        </w:tc>
        <w:tc>
          <w:tcPr>
            <w:tcW w:type="dxa" w:w="32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CP-29, CP-30, CP-33</w:t>
            </w:r>
          </w:p>
        </w:tc>
        <w:tc>
          <w:tcPr>
            <w:tcW w:type="dxa" w:w="2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CP-BD-03, CP-BD-04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RF-13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Media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CU-18</w:t>
            </w:r>
          </w:p>
        </w:tc>
        <w:tc>
          <w:tcPr>
            <w:tcW w:type="dxa" w:w="32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CP-31</w:t>
            </w:r>
          </w:p>
        </w:tc>
        <w:tc>
          <w:tcPr>
            <w:tcW w:type="dxa" w:w="2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RF-14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Muy alta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CU-20, CU-21, CU-33</w:t>
            </w:r>
          </w:p>
        </w:tc>
        <w:tc>
          <w:tcPr>
            <w:tcW w:type="dxa" w:w="32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CP-32, CP-34, CP-36</w:t>
            </w:r>
          </w:p>
        </w:tc>
        <w:tc>
          <w:tcPr>
            <w:tcW w:type="dxa" w:w="2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CP-BD-15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RF-15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Muy alta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CU-21</w:t>
            </w:r>
          </w:p>
        </w:tc>
        <w:tc>
          <w:tcPr>
            <w:tcW w:type="dxa" w:w="32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CP-32, CP-34, CP-37</w:t>
            </w:r>
          </w:p>
        </w:tc>
        <w:tc>
          <w:tcPr>
            <w:tcW w:type="dxa" w:w="2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CP-BD-09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RF-16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Alta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CU-21</w:t>
            </w:r>
          </w:p>
        </w:tc>
        <w:tc>
          <w:tcPr>
            <w:tcW w:type="dxa" w:w="32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CP-32</w:t>
            </w:r>
          </w:p>
        </w:tc>
        <w:tc>
          <w:tcPr>
            <w:tcW w:type="dxa" w:w="2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RF-17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Media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CU-25</w:t>
            </w:r>
          </w:p>
        </w:tc>
        <w:tc>
          <w:tcPr>
            <w:tcW w:type="dxa" w:w="32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CP-46</w:t>
            </w:r>
          </w:p>
        </w:tc>
        <w:tc>
          <w:tcPr>
            <w:tcW w:type="dxa" w:w="2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RF-18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Alta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CU-23</w:t>
            </w:r>
          </w:p>
        </w:tc>
        <w:tc>
          <w:tcPr>
            <w:tcW w:type="dxa" w:w="32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CP-41, CP-42, CP-43</w:t>
            </w:r>
          </w:p>
        </w:tc>
        <w:tc>
          <w:tcPr>
            <w:tcW w:type="dxa" w:w="2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CP-BD-04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RF-19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Media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CU-01, CU-34</w:t>
            </w:r>
          </w:p>
        </w:tc>
        <w:tc>
          <w:tcPr>
            <w:tcW w:type="dxa" w:w="32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CP-05</w:t>
            </w:r>
          </w:p>
        </w:tc>
        <w:tc>
          <w:tcPr>
            <w:tcW w:type="dxa" w:w="2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RF-20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Media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CU-29</w:t>
            </w:r>
          </w:p>
        </w:tc>
        <w:tc>
          <w:tcPr>
            <w:tcW w:type="dxa" w:w="32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CP-54, CP-66</w:t>
            </w:r>
          </w:p>
        </w:tc>
        <w:tc>
          <w:tcPr>
            <w:tcW w:type="dxa" w:w="2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RF-21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Baja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32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CP-65</w:t>
            </w:r>
          </w:p>
        </w:tc>
        <w:tc>
          <w:tcPr>
            <w:tcW w:type="dxa" w:w="2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RF-22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Media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CU-34</w:t>
            </w:r>
          </w:p>
        </w:tc>
        <w:tc>
          <w:tcPr>
            <w:tcW w:type="dxa" w:w="32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CP-63, CP-64</w:t>
            </w:r>
          </w:p>
        </w:tc>
        <w:tc>
          <w:tcPr>
            <w:tcW w:type="dxa" w:w="2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RF-28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Alta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CU-24</w:t>
            </w:r>
          </w:p>
        </w:tc>
        <w:tc>
          <w:tcPr>
            <w:tcW w:type="dxa" w:w="32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CP-44</w:t>
            </w:r>
          </w:p>
        </w:tc>
        <w:tc>
          <w:tcPr>
            <w:tcW w:type="dxa" w:w="2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RF-29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Alta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CU-23</w:t>
            </w:r>
          </w:p>
        </w:tc>
        <w:tc>
          <w:tcPr>
            <w:tcW w:type="dxa" w:w="32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CP-41, CP-43</w:t>
            </w:r>
          </w:p>
        </w:tc>
        <w:tc>
          <w:tcPr>
            <w:tcW w:type="dxa" w:w="2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RF-30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Media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CU-24</w:t>
            </w:r>
          </w:p>
        </w:tc>
        <w:tc>
          <w:tcPr>
            <w:tcW w:type="dxa" w:w="32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CP-44, CP-45</w:t>
            </w:r>
          </w:p>
        </w:tc>
        <w:tc>
          <w:tcPr>
            <w:tcW w:type="dxa" w:w="2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RF-31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Alta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CU-27</w:t>
            </w:r>
          </w:p>
        </w:tc>
        <w:tc>
          <w:tcPr>
            <w:tcW w:type="dxa" w:w="32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CP-49</w:t>
            </w:r>
          </w:p>
        </w:tc>
        <w:tc>
          <w:tcPr>
            <w:tcW w:type="dxa" w:w="2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RF-32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Muy alta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CU-28</w:t>
            </w:r>
          </w:p>
        </w:tc>
        <w:tc>
          <w:tcPr>
            <w:tcW w:type="dxa" w:w="32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CP-51, CP-53</w:t>
            </w:r>
          </w:p>
        </w:tc>
        <w:tc>
          <w:tcPr>
            <w:tcW w:type="dxa" w:w="2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RF-33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Media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CU-27</w:t>
            </w:r>
          </w:p>
        </w:tc>
        <w:tc>
          <w:tcPr>
            <w:tcW w:type="dxa" w:w="32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CP-49, CP-50</w:t>
            </w:r>
          </w:p>
        </w:tc>
        <w:tc>
          <w:tcPr>
            <w:tcW w:type="dxa" w:w="2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RF-34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Alta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CU-29</w:t>
            </w:r>
          </w:p>
        </w:tc>
        <w:tc>
          <w:tcPr>
            <w:tcW w:type="dxa" w:w="32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CP-55</w:t>
            </w:r>
          </w:p>
        </w:tc>
        <w:tc>
          <w:tcPr>
            <w:tcW w:type="dxa" w:w="2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RF-35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Alta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CU-30, CU-31</w:t>
            </w:r>
          </w:p>
        </w:tc>
        <w:tc>
          <w:tcPr>
            <w:tcW w:type="dxa" w:w="32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CP-57, CP-58</w:t>
            </w:r>
          </w:p>
        </w:tc>
        <w:tc>
          <w:tcPr>
            <w:tcW w:type="dxa" w:w="2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CP-BD-21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RF-36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Alta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32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CP-76</w:t>
            </w:r>
          </w:p>
        </w:tc>
        <w:tc>
          <w:tcPr>
            <w:tcW w:type="dxa" w:w="2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RF-37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Muy alta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32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CP-77</w:t>
            </w:r>
          </w:p>
        </w:tc>
        <w:tc>
          <w:tcPr>
            <w:tcW w:type="dxa" w:w="2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CP-BD-01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RF-38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Alta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CU-03</w:t>
            </w:r>
          </w:p>
        </w:tc>
        <w:tc>
          <w:tcPr>
            <w:tcW w:type="dxa" w:w="32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CP-10, CP-11</w:t>
            </w:r>
          </w:p>
        </w:tc>
        <w:tc>
          <w:tcPr>
            <w:tcW w:type="dxa" w:w="2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RF-39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Alta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CU-22</w:t>
            </w:r>
          </w:p>
        </w:tc>
        <w:tc>
          <w:tcPr>
            <w:tcW w:type="dxa" w:w="32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CP-38, CP-39, CP-40</w:t>
            </w:r>
          </w:p>
        </w:tc>
        <w:tc>
          <w:tcPr>
            <w:tcW w:type="dxa" w:w="2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CP-BD-05, CP-BD-06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RF-40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Alta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CU-20</w:t>
            </w:r>
          </w:p>
        </w:tc>
        <w:tc>
          <w:tcPr>
            <w:tcW w:type="dxa" w:w="32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CP-35</w:t>
            </w:r>
          </w:p>
        </w:tc>
        <w:tc>
          <w:tcPr>
            <w:tcW w:type="dxa" w:w="2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RF-41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Alta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CU-26</w:t>
            </w:r>
          </w:p>
        </w:tc>
        <w:tc>
          <w:tcPr>
            <w:tcW w:type="dxa" w:w="32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CP-47, CP-48</w:t>
            </w:r>
          </w:p>
        </w:tc>
        <w:tc>
          <w:tcPr>
            <w:tcW w:type="dxa" w:w="2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CP-BD-11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RF-42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Muy alta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CU-29</w:t>
            </w:r>
          </w:p>
        </w:tc>
        <w:tc>
          <w:tcPr>
            <w:tcW w:type="dxa" w:w="32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CP-54</w:t>
            </w:r>
          </w:p>
        </w:tc>
        <w:tc>
          <w:tcPr>
            <w:tcW w:type="dxa" w:w="2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CP-BD-10, CP-BD-11, CP-BD-12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RF-43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Alta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CU-28</w:t>
            </w:r>
          </w:p>
        </w:tc>
        <w:tc>
          <w:tcPr>
            <w:tcW w:type="dxa" w:w="32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CP-52</w:t>
            </w:r>
          </w:p>
        </w:tc>
        <w:tc>
          <w:tcPr>
            <w:tcW w:type="dxa" w:w="2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RF-44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Alta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CU-33</w:t>
            </w:r>
          </w:p>
        </w:tc>
        <w:tc>
          <w:tcPr>
            <w:tcW w:type="dxa" w:w="32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CP-36, CP-62</w:t>
            </w:r>
          </w:p>
        </w:tc>
        <w:tc>
          <w:tcPr>
            <w:tcW w:type="dxa" w:w="2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CP-BD-15, CP-BD-22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RF-45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Media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CU-32</w:t>
            </w:r>
          </w:p>
        </w:tc>
        <w:tc>
          <w:tcPr>
            <w:tcW w:type="dxa" w:w="32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CP-61</w:t>
            </w:r>
          </w:p>
        </w:tc>
        <w:tc>
          <w:tcPr>
            <w:tcW w:type="dxa" w:w="2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RF-46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Alta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CU-37</w:t>
            </w:r>
          </w:p>
        </w:tc>
        <w:tc>
          <w:tcPr>
            <w:tcW w:type="dxa" w:w="32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CP-74</w:t>
            </w:r>
          </w:p>
        </w:tc>
        <w:tc>
          <w:tcPr>
            <w:tcW w:type="dxa" w:w="2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RF-47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Alta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CU-38</w:t>
            </w:r>
          </w:p>
        </w:tc>
        <w:tc>
          <w:tcPr>
            <w:tcW w:type="dxa" w:w="32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CP-75</w:t>
            </w:r>
          </w:p>
        </w:tc>
        <w:tc>
          <w:tcPr>
            <w:tcW w:type="dxa" w:w="2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RF-48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Muy alta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CU-01, CU-05, CU-07</w:t>
            </w:r>
          </w:p>
        </w:tc>
        <w:tc>
          <w:tcPr>
            <w:tcW w:type="dxa" w:w="32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CP-01, CP-02, CP-13, CP-17</w:t>
            </w:r>
          </w:p>
        </w:tc>
        <w:tc>
          <w:tcPr>
            <w:tcW w:type="dxa" w:w="2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RF-49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Muy alta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CU-01, CU-06, CU-08</w:t>
            </w:r>
          </w:p>
        </w:tc>
        <w:tc>
          <w:tcPr>
            <w:tcW w:type="dxa" w:w="32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CP-01, CP-13, CP-18, CP-63</w:t>
            </w:r>
          </w:p>
        </w:tc>
        <w:tc>
          <w:tcPr>
            <w:tcW w:type="dxa" w:w="2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RF-50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Muy alta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CU-09, CU-10</w:t>
            </w:r>
          </w:p>
        </w:tc>
        <w:tc>
          <w:tcPr>
            <w:tcW w:type="dxa" w:w="32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CP-21</w:t>
            </w:r>
          </w:p>
        </w:tc>
        <w:tc>
          <w:tcPr>
            <w:tcW w:type="dxa" w:w="2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RF-51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Muy alta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CU-04, CU-11</w:t>
            </w:r>
          </w:p>
        </w:tc>
        <w:tc>
          <w:tcPr>
            <w:tcW w:type="dxa" w:w="32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CP-12</w:t>
            </w:r>
          </w:p>
        </w:tc>
        <w:tc>
          <w:tcPr>
            <w:tcW w:type="dxa" w:w="2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RF-52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Muy alta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CU-12</w:t>
            </w:r>
          </w:p>
        </w:tc>
        <w:tc>
          <w:tcPr>
            <w:tcW w:type="dxa" w:w="32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CP-22, CP-23</w:t>
            </w:r>
          </w:p>
        </w:tc>
        <w:tc>
          <w:tcPr>
            <w:tcW w:type="dxa" w:w="2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RF-53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Muy alta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CU-08, CU-13</w:t>
            </w:r>
          </w:p>
        </w:tc>
        <w:tc>
          <w:tcPr>
            <w:tcW w:type="dxa" w:w="32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CP-18, CP-24</w:t>
            </w:r>
          </w:p>
        </w:tc>
        <w:tc>
          <w:tcPr>
            <w:tcW w:type="dxa" w:w="2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RF-54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Muy alta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CU-14</w:t>
            </w:r>
          </w:p>
        </w:tc>
        <w:tc>
          <w:tcPr>
            <w:tcW w:type="dxa" w:w="32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CP-25</w:t>
            </w:r>
          </w:p>
        </w:tc>
        <w:tc>
          <w:tcPr>
            <w:tcW w:type="dxa" w:w="2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RF-55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Alta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CU-15</w:t>
            </w:r>
          </w:p>
        </w:tc>
        <w:tc>
          <w:tcPr>
            <w:tcW w:type="dxa" w:w="32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CP-26</w:t>
            </w:r>
          </w:p>
        </w:tc>
        <w:tc>
          <w:tcPr>
            <w:tcW w:type="dxa" w:w="2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RF-56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Muy alta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CU-09, CU-35</w:t>
            </w:r>
          </w:p>
        </w:tc>
        <w:tc>
          <w:tcPr>
            <w:tcW w:type="dxa" w:w="32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CP-19, CP-20, CP-67, CP-68</w:t>
            </w:r>
          </w:p>
        </w:tc>
        <w:tc>
          <w:tcPr>
            <w:tcW w:type="dxa" w:w="2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CP-BD-13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RF-57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Alta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CU-02, CU-36</w:t>
            </w:r>
          </w:p>
        </w:tc>
        <w:tc>
          <w:tcPr>
            <w:tcW w:type="dxa" w:w="32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CP-06, CP-15, CP-69</w:t>
            </w:r>
          </w:p>
        </w:tc>
        <w:tc>
          <w:tcPr>
            <w:tcW w:type="dxa" w:w="2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CP-BD-14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RF-58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Alta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CU-40</w:t>
            </w:r>
          </w:p>
        </w:tc>
        <w:tc>
          <w:tcPr>
            <w:tcW w:type="dxa" w:w="32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CP-70</w:t>
            </w:r>
          </w:p>
        </w:tc>
        <w:tc>
          <w:tcPr>
            <w:tcW w:type="dxa" w:w="2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RF-59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Alta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CU-39</w:t>
            </w:r>
          </w:p>
        </w:tc>
        <w:tc>
          <w:tcPr>
            <w:tcW w:type="dxa" w:w="32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CP-71</w:t>
            </w:r>
          </w:p>
        </w:tc>
        <w:tc>
          <w:tcPr>
            <w:tcW w:type="dxa" w:w="2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RF-60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Media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32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CP-72</w:t>
            </w:r>
          </w:p>
        </w:tc>
        <w:tc>
          <w:tcPr>
            <w:tcW w:type="dxa" w:w="2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RF-61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Alta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CU-07</w:t>
            </w:r>
          </w:p>
        </w:tc>
        <w:tc>
          <w:tcPr>
            <w:tcW w:type="dxa" w:w="32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CP-17, CP-73</w:t>
            </w:r>
          </w:p>
        </w:tc>
        <w:tc>
          <w:tcPr>
            <w:tcW w:type="dxa" w:w="2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RF-62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Alta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CU-41</w:t>
            </w:r>
          </w:p>
        </w:tc>
        <w:tc>
          <w:tcPr>
            <w:tcW w:type="dxa" w:w="32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CP-56</w:t>
            </w:r>
          </w:p>
        </w:tc>
        <w:tc>
          <w:tcPr>
            <w:tcW w:type="dxa" w:w="2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RF-63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Muy alta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CU-31</w:t>
            </w:r>
          </w:p>
        </w:tc>
        <w:tc>
          <w:tcPr>
            <w:tcW w:type="dxa" w:w="32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CP-09, CP-58, CP-59, CP-60</w:t>
            </w:r>
          </w:p>
        </w:tc>
        <w:tc>
          <w:tcPr>
            <w:tcW w:type="dxa" w:w="2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CP-BD-16, CP-BD-17, CP-BD-18, CP-BD-19</w:t>
            </w:r>
          </w:p>
        </w:tc>
      </w:tr>
    </w:tbl>
    <w:p>
      <w:pPr>
        <w:keepNext/>
        <w:spacing w:after="0" w:before="16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Tabla 16</w:t>
      </w:r>
    </w:p>
    <w:p>
      <w:pPr>
        <w:keepNext/>
        <w:spacing w:after="80" w:before="0"/>
      </w:pPr>
      <w:r>
        <w:rPr>
          <w:rFonts w:ascii="Arial" w:cs="Arial" w:eastAsia="Arial" w:hAnsi="Arial"/>
          <w:i/>
          <w:iCs/>
          <w:sz w:val="21"/>
          <w:szCs w:val="21"/>
        </w:rPr>
        <w:t xml:space="preserve">Cobertura de requerimientos por prioridad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Prioridad</w:t>
            </w:r>
          </w:p>
        </w:tc>
        <w:tc>
          <w:tcPr>
            <w:tcW w:type="dxa" w:w="234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RF de la V1</w:t>
            </w:r>
          </w:p>
        </w:tc>
        <w:tc>
          <w:tcPr>
            <w:tcW w:type="dxa" w:w="234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RF con caso de prueba</w:t>
            </w:r>
          </w:p>
        </w:tc>
        <w:tc>
          <w:tcPr>
            <w:tcW w:type="dxa" w:w="234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Cobertura</w:t>
            </w:r>
          </w:p>
        </w:tc>
      </w:tr>
      <w:tr>
        <w:trPr>
          <w:cantSplit/>
        </w:trPr>
        <w:tc>
          <w:tcPr>
            <w:tcW w:type="dxa" w:w="234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Muy alta</w:t>
            </w:r>
          </w:p>
        </w:tc>
        <w:tc>
          <w:tcPr>
            <w:tcW w:type="dxa" w:w="234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16</w:t>
            </w:r>
          </w:p>
        </w:tc>
        <w:tc>
          <w:tcPr>
            <w:tcW w:type="dxa" w:w="234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16</w:t>
            </w:r>
          </w:p>
        </w:tc>
        <w:tc>
          <w:tcPr>
            <w:tcW w:type="dxa" w:w="234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100%</w:t>
            </w:r>
          </w:p>
        </w:tc>
      </w:tr>
      <w:tr>
        <w:trPr>
          <w:cantSplit/>
        </w:trPr>
        <w:tc>
          <w:tcPr>
            <w:tcW w:type="dxa" w:w="234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Alta</w:t>
            </w:r>
          </w:p>
        </w:tc>
        <w:tc>
          <w:tcPr>
            <w:tcW w:type="dxa" w:w="234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28</w:t>
            </w:r>
          </w:p>
        </w:tc>
        <w:tc>
          <w:tcPr>
            <w:tcW w:type="dxa" w:w="234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28</w:t>
            </w:r>
          </w:p>
        </w:tc>
        <w:tc>
          <w:tcPr>
            <w:tcW w:type="dxa" w:w="234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100%</w:t>
            </w:r>
          </w:p>
        </w:tc>
      </w:tr>
      <w:tr>
        <w:trPr>
          <w:cantSplit/>
        </w:trPr>
        <w:tc>
          <w:tcPr>
            <w:tcW w:type="dxa" w:w="234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Media</w:t>
            </w:r>
          </w:p>
        </w:tc>
        <w:tc>
          <w:tcPr>
            <w:tcW w:type="dxa" w:w="234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12</w:t>
            </w:r>
          </w:p>
        </w:tc>
        <w:tc>
          <w:tcPr>
            <w:tcW w:type="dxa" w:w="234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12</w:t>
            </w:r>
          </w:p>
        </w:tc>
        <w:tc>
          <w:tcPr>
            <w:tcW w:type="dxa" w:w="234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100%</w:t>
            </w:r>
          </w:p>
        </w:tc>
      </w:tr>
      <w:tr>
        <w:trPr>
          <w:cantSplit/>
        </w:trPr>
        <w:tc>
          <w:tcPr>
            <w:tcW w:type="dxa" w:w="234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Baja</w:t>
            </w:r>
          </w:p>
        </w:tc>
        <w:tc>
          <w:tcPr>
            <w:tcW w:type="dxa" w:w="234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2</w:t>
            </w:r>
          </w:p>
        </w:tc>
        <w:tc>
          <w:tcPr>
            <w:tcW w:type="dxa" w:w="234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2</w:t>
            </w:r>
          </w:p>
        </w:tc>
        <w:tc>
          <w:tcPr>
            <w:tcW w:type="dxa" w:w="234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100%</w:t>
            </w:r>
          </w:p>
        </w:tc>
      </w:tr>
      <w:tr>
        <w:trPr>
          <w:cantSplit/>
        </w:trPr>
        <w:tc>
          <w:tcPr>
            <w:tcW w:type="dxa" w:w="234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Total</w:t>
            </w:r>
          </w:p>
        </w:tc>
        <w:tc>
          <w:tcPr>
            <w:tcW w:type="dxa" w:w="234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58</w:t>
            </w:r>
          </w:p>
        </w:tc>
        <w:tc>
          <w:tcPr>
            <w:tcW w:type="dxa" w:w="234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58</w:t>
            </w:r>
          </w:p>
        </w:tc>
        <w:tc>
          <w:tcPr>
            <w:tcW w:type="dxa" w:w="234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100%</w:t>
            </w:r>
          </w:p>
        </w:tc>
      </w:tr>
    </w:tbl>
    <w:p>
      <w:pPr>
        <w:spacing w:after="200" w:before="60"/>
      </w:pPr>
      <w:r>
        <w:rPr>
          <w:rFonts w:ascii="Arial" w:cs="Arial" w:eastAsia="Arial" w:hAnsi="Arial"/>
          <w:i/>
          <w:iCs/>
          <w:sz w:val="18"/>
          <w:szCs w:val="18"/>
        </w:rPr>
        <w:t xml:space="preserve">Nota. </w:t>
      </w:r>
      <w:r>
        <w:rPr>
          <w:rFonts w:ascii="Arial" w:cs="Arial" w:eastAsia="Arial" w:hAnsi="Arial"/>
          <w:sz w:val="18"/>
          <w:szCs w:val="18"/>
        </w:rPr>
        <w:t xml:space="preserve">Meta del Plan de Gestión de la Calidad: 100% en prioridad Muy alta y Alta y ≥ 90% en total. La cobertura indica casos diseñados; la aprobación se mide al ejecutarlos.</w:t>
      </w:r>
    </w:p>
    <w:p>
      <w:pPr>
        <w:pStyle w:val="Heading1"/>
        <w:keepNext/>
        <w:spacing w:after="160" w:before="360"/>
      </w:pPr>
      <w:r>
        <w:rPr>
          <w:rFonts w:ascii="Arial" w:cs="Arial" w:eastAsia="Arial" w:hAnsi="Arial"/>
          <w:b/>
          <w:bCs/>
          <w:color w:val="1F3864"/>
          <w:sz w:val="28"/>
          <w:szCs w:val="28"/>
        </w:rPr>
        <w:t xml:space="preserve">12. Registro de Ejecución y Defectos</w:t>
      </w:r>
    </w:p>
    <w:p>
      <w:pPr>
        <w:spacing w:after="120" w:before="0" w:line="276"/>
        <w:jc w:val="both"/>
      </w:pPr>
      <w:r>
        <w:rPr>
          <w:rFonts w:ascii="Arial" w:cs="Arial" w:eastAsia="Arial" w:hAnsi="Arial"/>
          <w:sz w:val="22"/>
          <w:szCs w:val="22"/>
        </w:rPr>
        <w:t xml:space="preserve">Los 77 casos funcionales se distribuyen por prioridad así: 26 Muy alta, 38 Alta, 12 Media y 1 Baja. El registro se actualiza al cierre de cada ciclo y alimenta la métrica de defectos por iteración del Plan de Gestión de la Calidad.</w:t>
      </w:r>
    </w:p>
    <w:p>
      <w:pPr>
        <w:keepNext/>
        <w:spacing w:after="0" w:before="16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Tabla 17</w:t>
      </w:r>
    </w:p>
    <w:p>
      <w:pPr>
        <w:keepNext/>
        <w:spacing w:after="80" w:before="0"/>
      </w:pPr>
      <w:r>
        <w:rPr>
          <w:rFonts w:ascii="Arial" w:cs="Arial" w:eastAsia="Arial" w:hAnsi="Arial"/>
          <w:i/>
          <w:iCs/>
          <w:sz w:val="21"/>
          <w:szCs w:val="21"/>
        </w:rPr>
        <w:t xml:space="preserve">Resumen de ejecución por ciclo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00"/>
        <w:gridCol w:w="900"/>
        <w:gridCol w:w="2560"/>
        <w:gridCol w:w="800"/>
        <w:gridCol w:w="800"/>
        <w:gridCol w:w="800"/>
        <w:gridCol w:w="900"/>
        <w:gridCol w:w="1300"/>
      </w:tblGrid>
      <w:tr>
        <w:trPr>
          <w:tblHeader/>
        </w:trPr>
        <w:tc>
          <w:tcPr>
            <w:tcW w:type="dxa" w:w="1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Ciclo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Semana</w:t>
            </w:r>
          </w:p>
        </w:tc>
        <w:tc>
          <w:tcPr>
            <w:tcW w:type="dxa" w:w="2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Alcance</w:t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Planif.</w:t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Ejec.</w:t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Aprob.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Fallidos</w:t>
            </w:r>
          </w:p>
        </w:tc>
        <w:tc>
          <w:tcPr>
            <w:tcW w:type="dxa" w:w="1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Estado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Base de datos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S10</w:t>
            </w:r>
          </w:p>
        </w:tc>
        <w:tc>
          <w:tcPr>
            <w:tcW w:type="dxa" w:w="2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CP-BD-01 a CP-BD-22</w:t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22</w:t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22</w:t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22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Cerrado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Ciclo 1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S12</w:t>
            </w:r>
          </w:p>
        </w:tc>
        <w:tc>
          <w:tcPr>
            <w:tcW w:type="dxa" w:w="2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CP-01 a CP-77</w:t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77</w:t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1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Pendiente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Ciclo 2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S13</w:t>
            </w:r>
          </w:p>
        </w:tc>
        <w:tc>
          <w:tcPr>
            <w:tcW w:type="dxa" w:w="2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CP-NF-01 a CP-NF-11 y regresión de casos Muy alta</w:t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11</w:t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1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Pendiente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UAT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S13–S14</w:t>
            </w:r>
          </w:p>
        </w:tc>
        <w:tc>
          <w:tcPr>
            <w:tcW w:type="dxa" w:w="25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UAT-01 a UAT-06</w:t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6</w:t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—</w:t>
            </w:r>
          </w:p>
        </w:tc>
        <w:tc>
          <w:tcPr>
            <w:tcW w:type="dxa" w:w="1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Pendiente</w:t>
            </w:r>
          </w:p>
        </w:tc>
      </w:tr>
    </w:tbl>
    <w:p>
      <w:pPr>
        <w:keepNext/>
        <w:spacing w:after="120" w:before="160" w:line="276"/>
        <w:jc w:val="both"/>
      </w:pPr>
      <w:r>
        <w:rPr>
          <w:rFonts w:ascii="Arial" w:cs="Arial" w:eastAsia="Arial" w:hAnsi="Arial"/>
          <w:sz w:val="22"/>
          <w:szCs w:val="22"/>
        </w:rPr>
        <w:t xml:space="preserve">Cada defecto se registra con los siguientes campos:</w:t>
      </w:r>
    </w:p>
    <w:p>
      <w:pPr>
        <w:keepNext/>
        <w:spacing w:after="0" w:before="16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Tabla 18</w:t>
      </w:r>
    </w:p>
    <w:p>
      <w:pPr>
        <w:keepNext/>
        <w:spacing w:after="80" w:before="0"/>
      </w:pPr>
      <w:r>
        <w:rPr>
          <w:rFonts w:ascii="Arial" w:cs="Arial" w:eastAsia="Arial" w:hAnsi="Arial"/>
          <w:i/>
          <w:iCs/>
          <w:sz w:val="21"/>
          <w:szCs w:val="21"/>
        </w:rPr>
        <w:t xml:space="preserve">Campos del registro de defectos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400"/>
        <w:gridCol w:w="6960"/>
      </w:tblGrid>
      <w:tr>
        <w:trPr>
          <w:tblHeader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Campo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Descripción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ID del defecto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DEF-NNN, correlativo.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Caso de prueba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ID del caso en que se detectó.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Descripción y pasos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Qué ocurrió, pasos para reproducirlo y evidencia (captura o log sin datos personales).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Severidad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Crítica, Alta, Media o Baja (sección 5).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Estado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Abierto → En corrección → Corregido → Verificado → Cerrado.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2F8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Responsable y fechas</w:t>
            </w:r>
          </w:p>
        </w:tc>
        <w:tc>
          <w:tcPr>
            <w:tcW w:type="dxa" w:w="69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Quién corrige, fecha de detección y fecha de cierre.</w:t>
            </w:r>
          </w:p>
        </w:tc>
      </w:tr>
    </w:tbl>
    <w:p>
      <w:pPr>
        <w:pStyle w:val="Heading1"/>
        <w:keepNext/>
        <w:spacing w:after="160" w:before="360"/>
      </w:pPr>
      <w:r>
        <w:rPr>
          <w:rFonts w:ascii="Arial" w:cs="Arial" w:eastAsia="Arial" w:hAnsi="Arial"/>
          <w:b/>
          <w:bCs/>
          <w:color w:val="1F3864"/>
          <w:sz w:val="28"/>
          <w:szCs w:val="28"/>
        </w:rPr>
        <w:t xml:space="preserve">Referencias</w:t>
      </w:r>
    </w:p>
    <w:p>
      <w:pPr>
        <w:spacing w:after="120" w:line="264"/>
        <w:ind w:left="720" w:hanging="720"/>
      </w:pPr>
      <w:r>
        <w:rPr>
          <w:rFonts w:ascii="Arial" w:cs="Arial" w:eastAsia="Arial" w:hAnsi="Arial"/>
          <w:sz w:val="20"/>
          <w:szCs w:val="20"/>
        </w:rPr>
        <w:t xml:space="preserve">International Organization for Standardization, International Electrotechnical Commission &amp; Institute of Electrical and Electronics Engineers [ISO/IEC/IEEE]. (2021). Software and systems engineering — Software testing — Part 3: Test documentation (ISO/IEC/IEEE 29119-3:2021).</w:t>
      </w:r>
    </w:p>
    <w:p>
      <w:pPr>
        <w:spacing w:after="120" w:line="264"/>
        <w:ind w:left="720" w:hanging="720"/>
      </w:pPr>
      <w:r>
        <w:rPr>
          <w:rFonts w:ascii="Arial" w:cs="Arial" w:eastAsia="Arial" w:hAnsi="Arial"/>
          <w:sz w:val="20"/>
          <w:szCs w:val="20"/>
        </w:rPr>
        <w:t xml:space="preserve">Ley N° 21.719. (2024, 13 de diciembre). Regula la protección y el tratamiento de los datos personales y crea la Agencia de Protección de Datos Personales. Diario Oficial de la República de Chile. https://www.bcn.cl/leychile/navegar?idNorma=1209272</w:t>
      </w:r>
    </w:p>
    <w:p>
      <w:pPr>
        <w:spacing w:after="120" w:line="264"/>
        <w:ind w:left="720" w:hanging="720"/>
      </w:pPr>
      <w:r>
        <w:rPr>
          <w:rFonts w:ascii="Arial" w:cs="Arial" w:eastAsia="Arial" w:hAnsi="Arial"/>
          <w:sz w:val="20"/>
          <w:szCs w:val="20"/>
        </w:rPr>
        <w:t xml:space="preserve">OWASP Foundation. (2021). OWASP Top 10:2021. https://owasp.org/Top10/</w:t>
      </w:r>
    </w:p>
    <w:p>
      <w:pPr>
        <w:spacing w:after="120" w:line="264"/>
        <w:ind w:left="720" w:hanging="720"/>
      </w:pPr>
      <w:r>
        <w:rPr>
          <w:rFonts w:ascii="Arial" w:cs="Arial" w:eastAsia="Arial" w:hAnsi="Arial"/>
          <w:sz w:val="20"/>
          <w:szCs w:val="20"/>
        </w:rPr>
        <w:t xml:space="preserve">World Wide Web Consortium [W3C]. (2018). Web Content Accessibility Guidelines (WCAG) 2.1. https://www.w3.org/TR/WCAG21/</w:t>
      </w:r>
    </w:p>
    <w:sectPr>
      <w:headerReference w:type="default" r:id="rId6"/>
      <w:headerReference w:type="first" r:id="rId7"/>
      <w:footerReference w:type="default" r:id="rId8"/>
      <w:footerReference w:type="first" r:id="rId9"/>
      <w:pgSz w:w="12240" w:h="15840" w:orient="portrait"/>
      <w:pgMar w:top="1440" w:right="1440" w:bottom="1440" w:left="1440" w:header="708" w:footer="708" w:gutter="0"/>
      <w:pgNumType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sz w:val="18"/>
        <w:szCs w:val="18"/>
      </w:rPr>
      <w:t xml:space="preserve">Página </w:t>
      <w:fldChar w:fldCharType="begin"/>
      <w:instrText xml:space="preserve">PAGE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/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888888"/>
        <w:sz w:val="16"/>
        <w:szCs w:val="16"/>
      </w:rPr>
      <w:t xml:space="preserve">Plan y Casos de Prueba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/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Arial" w:cs="Arial" w:eastAsia="Arial" w:hAnsi="Arial"/>
      <w:b/>
      <w:bCs/>
      <w:color w:val="1F3864"/>
      <w:sz w:val="28"/>
      <w:szCs w:val="28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Arial" w:cs="Arial" w:eastAsia="Arial" w:hAnsi="Arial"/>
      <w:b/>
      <w:bCs/>
      <w:color w:val="1F3864"/>
      <w:sz w:val="24"/>
      <w:szCs w:val="24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header" Target="header2.xml"/><Relationship Id="rId8" Type="http://schemas.openxmlformats.org/officeDocument/2006/relationships/footer" Target="footer1.xml"/><Relationship Id="rId9" Type="http://schemas.openxmlformats.org/officeDocument/2006/relationships/footer" Target="footer2.xml"/><Relationship Id="rId10" Type="http://schemas.openxmlformats.org/officeDocument/2006/relationships/theme" Target="theme/theme1.xml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Plan y Casos de Prueba — Proyecto Barbería Big-Boys</dc:title>
  <dc:creator>Yerko Rosales B.</dc:creator>
  <cp:lastModifiedBy>Un-named</cp:lastModifiedBy>
  <cp:revision>1</cp:revision>
  <dcterms:created xsi:type="dcterms:W3CDTF">2026-10-09T22:54:26.875Z</dcterms:created>
  <dcterms:modified xsi:type="dcterms:W3CDTF">2026-10-09T22:54:26.878Z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