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Anexo A — Cumplimiento Normativo y Gobierno de Datos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18 de octubre de 2026 (entrega Fase 2)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1.0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Propósito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El Proyecto Barbería Big-Boys se diseña e implementa cumpliendo desde su lanzamiento la Ley N° 21.719 (Ley N° 21.719, 2024), aunque aún no sea obligatoria. </w:t>
      </w:r>
      <w:r>
        <w:rPr>
          <w:rFonts w:ascii="Arial" w:hAnsi="Arial" w:cs="Arial" w:eastAsia="Arial"/>
          <w:b/>
          <w:bCs/>
          <w:sz w:val="22"/>
          <w:szCs w:val="22"/>
        </w:rPr>
        <w:t>El sistema implementa de forma anticipada los requisitos de la Ley N° 21.719, asegurando cumplimiento desde su entrada en vigencia y evitando adecuaciones posteriores.</w:t>
      </w:r>
      <w:r>
        <w:rPr>
          <w:rFonts w:ascii="Arial" w:hAnsi="Arial" w:cs="Arial" w:eastAsia="Arial"/>
          <w:sz w:val="22"/>
          <w:szCs w:val="22"/>
        </w:rPr>
        <w:t xml:space="preserve"> Este anexo es un valor agregado y diferenciador del producto: Barbería Big-Boys operará conforme a la nueva normativa antes de que sea exigible, sin necesidad de adecuaciones ni costos futuros.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Marco Legal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Marco Legal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230"/>
        <w:gridCol w:w="2470"/>
        <w:gridCol w:w="3800"/>
      </w:tblGrid>
      <w:tr>
        <w:trPr>
          <w:tblHeader/>
        </w:trPr>
        <w:tc>
          <w:tcPr>
            <w:tcW w:w="323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7"/>
                <w:szCs w:val="17"/>
              </w:rPr>
              <w:t>Norma</w:t>
            </w:r>
          </w:p>
        </w:tc>
        <w:tc>
          <w:tcPr>
            <w:tcW w:w="247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7"/>
                <w:szCs w:val="17"/>
              </w:rPr>
              <w:t>Estado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7"/>
                <w:szCs w:val="17"/>
              </w:rPr>
              <w:t>Tratamiento en el producto</w:t>
            </w:r>
          </w:p>
        </w:tc>
      </w:tr>
      <w:tr>
        <w:trPr>
          <w:cantSplit/>
        </w:trPr>
        <w:tc>
          <w:tcPr>
            <w:tcW w:w="32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Ley N° 19.628 sobre Protección de la Vida Privada (1999)</w:t>
            </w:r>
          </w:p>
        </w:tc>
        <w:tc>
          <w:tcPr>
            <w:tcW w:w="24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Vigente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El sistema la cumple: uso de datos para la finalidad informada, derechos de acceso, rectificación, cancelación y oposición, y seguridad.</w:t>
            </w:r>
          </w:p>
        </w:tc>
      </w:tr>
      <w:tr>
        <w:trPr>
          <w:cantSplit/>
        </w:trPr>
        <w:tc>
          <w:tcPr>
            <w:tcW w:w="32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Ley N° 21.719, que regula la protección y el tratamiento de los datos personales y crea la Agencia de Protección de Datos Personales</w:t>
            </w:r>
          </w:p>
        </w:tc>
        <w:tc>
          <w:tcPr>
            <w:tcW w:w="24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Publicada en el Diario Oficial el 13-12-2024; plena vigencia el 01-12-2026 (art. 1° transitorio)</w:t>
            </w:r>
          </w:p>
        </w:tc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Implementación anticipada completa: consentimiento, derechos (incluidos portabilidad y bloqueo), seguridad, brechas, RAT y responsabilidad proactiva.</w:t>
            </w:r>
          </w:p>
        </w:tc>
      </w:tr>
      <w:tr>
        <w:trPr>
          <w:cantSplit/>
        </w:trPr>
        <w:tc>
          <w:tcPr>
            <w:tcW w:w="32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Proyecto de ley que posterga la vigencia al 01-12-2027</w:t>
            </w:r>
          </w:p>
        </w:tc>
        <w:tc>
          <w:tcPr>
            <w:tcW w:w="24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En tramitación (ingresado al Senado el 01-09-2026)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Dato de contexto: no afecta al producto, porque ya cumple.</w:t>
            </w:r>
          </w:p>
        </w:tc>
      </w:tr>
    </w:tbl>
    <w:p>
      <w:pPr>
        <w:spacing w:before="0" w:after="60"/>
      </w:pPr>
    </w:p>
    <w:p>
      <w:pPr>
        <w:spacing w:before="60" w:after="160" w:line="252" w:lineRule="auto"/>
      </w:pPr>
      <w:r>
        <w:rPr>
          <w:rFonts w:ascii="Arial" w:hAnsi="Arial" w:cs="Arial" w:eastAsia="Arial"/>
          <w:i/>
          <w:iCs/>
          <w:sz w:val="19"/>
          <w:szCs w:val="19"/>
        </w:rPr>
        <w:t xml:space="preserve">Nota. </w:t>
      </w:r>
      <w:r>
        <w:rPr>
          <w:rFonts w:ascii="Arial" w:hAnsi="Arial" w:cs="Arial" w:eastAsia="Arial"/>
          <w:sz w:val="19"/>
          <w:szCs w:val="19"/>
        </w:rPr>
        <w:t>Elaboración propia a partir de la Ley N° 19.628 (Ley N° 19.628, 1999), la Ley N° 21.719 (Ley N° 21.719, 2024) y Carey Abogados (2026).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Matriz de Cumplimiento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Matriz de Cumplimiento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090"/>
        <w:gridCol w:w="2850"/>
        <w:gridCol w:w="1330"/>
        <w:gridCol w:w="1520"/>
        <w:gridCol w:w="1710"/>
      </w:tblGrid>
      <w:tr>
        <w:trPr>
          <w:tblHeader/>
        </w:trPr>
        <w:tc>
          <w:tcPr>
            <w:tcW w:w="209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Requisito de la Ley N° 21.719</w:t>
            </w:r>
          </w:p>
        </w:tc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Implementación en el producto</w:t>
            </w:r>
          </w:p>
        </w:tc>
        <w:tc>
          <w:tcPr>
            <w:tcW w:w="133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RF / CU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Entidad de BD</w:t>
            </w:r>
          </w:p>
        </w:tc>
        <w:tc>
          <w:tcPr>
            <w:tcW w:w="171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Pantalla / evidencia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Licitud y consentimiento libre, informado, específico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Aceptación obligatoria de la política vigente con versión, fecha, finalidad y canal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RF-48 / CU-07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consentimiento, politica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DIAG-32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Consentimiento separado para fines promocionales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Casilla opcional desmarcada, revocable en un clic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RF-49 / CU-08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consentimiento (PROMOCIONAL)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DIAG-32, DIAG-33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Derechos de acceso, rectificación, supresión, oposición, portabilidad y bloqueo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Módulo «Mis datos» en web y app con folio y plazo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RF-50 a RF-55 / CU-09 a CU-15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solicitud_derecho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DIAG-34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Plazo de respuesta (30 días corridos, prórroga única)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Cálculo automático de fecha límite, alertas y bandeja del responsable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RF-56 / CU-35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solicitud_derecho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Trigger tg_solicitud_plazo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Principio de proporcionalidad (minimización)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Solo datos necesarios; sin RUT ni datos sensibles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RF-01, RF-03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usuario, cliente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Sección 4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Seguridad de los datos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TLS, cifrado en reposo, hash de contraseñas, RBAC, auditoría, respaldos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RNF-03, RNF-09, RF-57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registro_auditoria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DAS vista física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Notificación de brechas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Registro de incidentes y procedimiento de notificación a la Agencia y titulares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RF-59 / CU-39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incidente_seguridad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Sección 6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Responsabilidad proactiva y registro de actividades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RAT mantenido en el sistema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RF-60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actividad_tratamiento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Sección 7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Deber de información y transparencia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Política de Privacidad y Términos publicados y versionados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RF-61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politica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Documento de políticas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Limitación del plazo de conservación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Retención y anonimización automática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RF-58 / CU-40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configuracion (MESES_*)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Diccionario de datos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Encargados de tratamiento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Contratos con pasarela, hosting y correo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actividad_tratamiento.destinatarios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Plan de adquisiciones (10)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Transferencia internacional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Datos alojados en Chile; garantías si se escala fuera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RNF-11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actividad_tratamiento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Plan de costos (08)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Funcionalidades Implementadas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4.1 Consentimiento informado y promocional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Al registrarse o reservar como invitado, el titular acepta la versión vigente de la Política de Privacidad (finalidad SERVICIO). El consentimiento para comunicaciones promocionales —incluido el del pop-up del invitado— es separado, opcional, desmarcado por defecto y revocable en cualquier momento desde «Mis datos › Preferencias». Cada otorgamiento o revocación queda registrado con fecha, versión, finalidad y canal.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Figura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DIAG-32 — Pantalla: registro con consentimiento informado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1843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-32_Pantalla_registro_con_consentimiento_informa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43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 w:line="252" w:lineRule="auto"/>
      </w:pPr>
      <w:r>
        <w:rPr>
          <w:rFonts w:ascii="Arial" w:hAnsi="Arial" w:cs="Arial" w:eastAsia="Arial"/>
          <w:i/>
          <w:iCs/>
          <w:sz w:val="19"/>
          <w:szCs w:val="19"/>
        </w:rPr>
        <w:t xml:space="preserve">Nota. </w:t>
      </w:r>
      <w:r>
        <w:rPr>
          <w:rFonts w:ascii="Arial" w:hAnsi="Arial" w:cs="Arial" w:eastAsia="Arial"/>
          <w:sz w:val="19"/>
          <w:szCs w:val="19"/>
        </w:rPr>
        <w:t>Formulario de registro con datos mínimos (sin RUT), aceptación obligatoria de la Política de Privacidad vigente y consentimiento promocional separado, opcional y desmarcado por defecto. Elaboración propia con PlantUML.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Figura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DIAG-33 — Pantalla: pop-up promocional para invitados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4426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-33_Pantalla_pop_up_promocional_para_invitad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42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 w:line="252" w:lineRule="auto"/>
      </w:pPr>
      <w:r>
        <w:rPr>
          <w:rFonts w:ascii="Arial" w:hAnsi="Arial" w:cs="Arial" w:eastAsia="Arial"/>
          <w:i/>
          <w:iCs/>
          <w:sz w:val="19"/>
          <w:szCs w:val="19"/>
        </w:rPr>
        <w:t xml:space="preserve">Nota. </w:t>
      </w:r>
      <w:r>
        <w:rPr>
          <w:rFonts w:ascii="Arial" w:hAnsi="Arial" w:cs="Arial" w:eastAsia="Arial"/>
          <w:sz w:val="19"/>
          <w:szCs w:val="19"/>
        </w:rPr>
        <w:t>Pop-up que se muestra una vez por sesión al invitado: incentiva crear perfil sin condicionar la reserva; el consentimiento promocional es opcional. Elaboración propia con PlantUML.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4.2 Módulo «Mis datos»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Disponible en la web y en la app. Permite ejercer los seis derechos; cada solicitud recibe folio, fecha límite de 30 días corridos (prorrogable una vez por igual plazo con aviso fundado), seguimiento de estado y registro en la auditoría. La portabilidad entrega un archivo JSON y CSV.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Figura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DIAG-34 — Pantalla: módulo «Mis datos» (derechos del titular)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1711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-34_Pantalla_modulo_Mis_datos_derechos_del_titul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1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 w:line="252" w:lineRule="auto"/>
      </w:pPr>
      <w:r>
        <w:rPr>
          <w:rFonts w:ascii="Arial" w:hAnsi="Arial" w:cs="Arial" w:eastAsia="Arial"/>
          <w:i/>
          <w:iCs/>
          <w:sz w:val="19"/>
          <w:szCs w:val="19"/>
        </w:rPr>
        <w:t xml:space="preserve">Nota. </w:t>
      </w:r>
      <w:r>
        <w:rPr>
          <w:rFonts w:ascii="Arial" w:hAnsi="Arial" w:cs="Arial" w:eastAsia="Arial"/>
          <w:sz w:val="19"/>
          <w:szCs w:val="19"/>
        </w:rPr>
        <w:t>Módulo disponible en web y app para ejercer los derechos de acceso, rectificación, supresión, oposición, portabilidad y bloqueo, con seguimiento de solicitudes, folio y plazo legal. Elaboración propia con PlantUML.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Figura 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DIAG-06 — Vista de procesos: secuencia de solicitud de derechos del titular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302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-06_Vista_de_procesos_secuencia_de_solicitud_de_derechos_del_titul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30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 w:line="252" w:lineRule="auto"/>
      </w:pPr>
      <w:r>
        <w:rPr>
          <w:rFonts w:ascii="Arial" w:hAnsi="Arial" w:cs="Arial" w:eastAsia="Arial"/>
          <w:i/>
          <w:iCs/>
          <w:sz w:val="19"/>
          <w:szCs w:val="19"/>
        </w:rPr>
        <w:t xml:space="preserve">Nota. </w:t>
      </w:r>
      <w:r>
        <w:rPr>
          <w:rFonts w:ascii="Arial" w:hAnsi="Arial" w:cs="Arial" w:eastAsia="Arial"/>
          <w:sz w:val="19"/>
          <w:szCs w:val="19"/>
        </w:rPr>
        <w:t>Ejercicio de derechos desde el módulo «Mis datos»: la solicitud recibe folio y fecha límite de 30 días corridos; el responsable de cumplimiento la resuelve y todo queda trazado en la auditoría. Elaboración propia con PlantUML.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Figura 5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DIAG-26 — Diagrama de estados: Solicitud de derechos del titular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3960000" cy="545980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-26_Diagrama_de_estados_Solicitud_de_derechos_del_titul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459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 w:line="252" w:lineRule="auto"/>
      </w:pPr>
      <w:r>
        <w:rPr>
          <w:rFonts w:ascii="Arial" w:hAnsi="Arial" w:cs="Arial" w:eastAsia="Arial"/>
          <w:i/>
          <w:iCs/>
          <w:sz w:val="19"/>
          <w:szCs w:val="19"/>
        </w:rPr>
        <w:t xml:space="preserve">Nota. </w:t>
      </w:r>
      <w:r>
        <w:rPr>
          <w:rFonts w:ascii="Arial" w:hAnsi="Arial" w:cs="Arial" w:eastAsia="Arial"/>
          <w:sz w:val="19"/>
          <w:szCs w:val="19"/>
        </w:rPr>
        <w:t>Ciclo de una solicitud de acceso, rectificación, supresión, oposición, portabilidad o bloqueo, con el plazo legal de 30 días corridos y una prórroga única. Elaboración propia con PlantUML.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4.3 Minimización: justificación de cada dato solicitado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Minimización: justificación de cada dato solicitado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090"/>
        <w:gridCol w:w="2090"/>
        <w:gridCol w:w="5320"/>
      </w:tblGrid>
      <w:tr>
        <w:trPr>
          <w:tblHeader/>
        </w:trPr>
        <w:tc>
          <w:tcPr>
            <w:tcW w:w="209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Dato</w:t>
            </w:r>
          </w:p>
        </w:tc>
        <w:tc>
          <w:tcPr>
            <w:tcW w:w="209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¿Se solicita?</w:t>
            </w:r>
          </w:p>
        </w:tc>
        <w:tc>
          <w:tcPr>
            <w:tcW w:w="53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Justificación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Correo electrónico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Sí (registrado) / opcional (invitado)</w:t>
            </w:r>
          </w:p>
        </w:tc>
        <w:tc>
          <w:tcPr>
            <w:tcW w:w="53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Iniciar sesión, enviar comprobante, confirmación y recordatorio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Nombre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Sí</w:t>
            </w:r>
          </w:p>
        </w:tc>
        <w:tc>
          <w:tcPr>
            <w:tcW w:w="53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Identificar al cliente en la reserva y en el local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Apellido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No (opcional)</w:t>
            </w:r>
          </w:p>
        </w:tc>
        <w:tc>
          <w:tcPr>
            <w:tcW w:w="53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Diferenciar clientes con el mismo nombre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Teléfono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Sí para invitado; opcional para registrado</w:t>
            </w:r>
          </w:p>
        </w:tc>
        <w:tc>
          <w:tcPr>
            <w:tcW w:w="53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Contactar por cambios de última hora en la cita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Contraseña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Sí (solo hash)</w:t>
            </w:r>
          </w:p>
        </w:tc>
        <w:tc>
          <w:tcPr>
            <w:tcW w:w="53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Autenticación; nunca se almacena en claro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RUT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</w:rPr>
              <w:t>No se solicita</w:t>
            </w:r>
          </w:p>
        </w:tc>
        <w:tc>
          <w:tcPr>
            <w:tcW w:w="53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No es necesario para agendar ni para pagar (el pago lo identifica la pasarela). Se elimina respecto de la versión anterior del ERS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Fecha de nacimiento, dirección, género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</w:rPr>
              <w:t>No se solicitan</w:t>
            </w:r>
          </w:p>
        </w:tc>
        <w:tc>
          <w:tcPr>
            <w:tcW w:w="53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Sin finalidad para el servicio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Datos de tarjeta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</w:rPr>
              <w:t>Nunca</w:t>
            </w:r>
          </w:p>
        </w:tc>
        <w:tc>
          <w:tcPr>
            <w:tcW w:w="53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El pago se delega a la pasarela; solo se guarda el ID y el estado de la transacción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Dirección IP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Sí (en auditoría)</w:t>
            </w:r>
          </w:p>
        </w:tc>
        <w:tc>
          <w:tcPr>
            <w:tcW w:w="53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Seguridad y detección de incidentes; se conserva 24 meses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Nombre de pila en la fila presencial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No (opcional)</w:t>
            </w:r>
          </w:p>
        </w:tc>
        <w:tc>
          <w:tcPr>
            <w:tcW w:w="53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Llamar al cliente; se elimina a las 24 horas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4.4 Seguridad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Cifrado en tránsito HTTPS/TLS 1.2 o superior en web, app y API.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Cifrado en reposo del volumen de la base de datos y de los respaldos (AES-256).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Contraseñas con hash Argon2id o bcrypt y bloqueo tras 5 intentos fallidos.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Control de acceso por roles: cliente, barbero, administrador de sucursal y dueño, con alcance por sucursal.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Registro de auditoría inmutable de accesos, cambios y consultas a datos personales.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Respaldo diario cifrado, retención de 30 días y prueba de restauración trimestral.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Secretos fuera del código fuente (variables de entorno / gestor de secretos).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Pagos delegados a la pasarela certificada PCI DSS: el sistema no almacena datos de tarjetas.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4.4.1 Control de acceso por rol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Matriz de permisos por rol en la web y la app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230"/>
        <w:gridCol w:w="1045"/>
        <w:gridCol w:w="1045"/>
        <w:gridCol w:w="1330"/>
        <w:gridCol w:w="1520"/>
        <w:gridCol w:w="1330"/>
      </w:tblGrid>
      <w:tr>
        <w:trPr>
          <w:tblHeader/>
        </w:trPr>
        <w:tc>
          <w:tcPr>
            <w:tcW w:w="323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Acción</w:t>
            </w:r>
          </w:p>
        </w:tc>
        <w:tc>
          <w:tcPr>
            <w:tcW w:w="104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Cliente registrado</w:t>
            </w:r>
          </w:p>
        </w:tc>
        <w:tc>
          <w:tcPr>
            <w:tcW w:w="104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Invitado</w:t>
            </w:r>
          </w:p>
        </w:tc>
        <w:tc>
          <w:tcPr>
            <w:tcW w:w="133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Barbero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Administrador de sucursal (cajero/a)</w:t>
            </w:r>
          </w:p>
        </w:tc>
        <w:tc>
          <w:tcPr>
            <w:tcW w:w="133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Dueño / Admin. general</w:t>
            </w:r>
          </w:p>
        </w:tc>
      </w:tr>
      <w:tr>
        <w:trPr>
          <w:cantSplit/>
        </w:trPr>
        <w:tc>
          <w:tcPr>
            <w:tcW w:w="32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Crear su propio perfil (autorregistro)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32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Iniciar sesión, cambiar o recuperar contraseña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 (credenciales entregadas por el Dueño)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 (credenciales entregadas por el Dueño)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</w:t>
            </w:r>
          </w:p>
        </w:tc>
      </w:tr>
      <w:tr>
        <w:trPr>
          <w:cantSplit/>
        </w:trPr>
        <w:tc>
          <w:tcPr>
            <w:tcW w:w="32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Editar perfil propio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</w:t>
            </w:r>
          </w:p>
        </w:tc>
      </w:tr>
      <w:tr>
        <w:trPr>
          <w:cantSplit/>
        </w:trPr>
        <w:tc>
          <w:tcPr>
            <w:tcW w:w="32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Crear perfiles de colaboradores, entregar credenciales y desactivarlos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 (exclusivo)</w:t>
            </w:r>
          </w:p>
        </w:tc>
      </w:tr>
      <w:tr>
        <w:trPr>
          <w:cantSplit/>
        </w:trPr>
        <w:tc>
          <w:tcPr>
            <w:tcW w:w="32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Ver servicios, precios, sucursales y barberos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</w:t>
            </w:r>
          </w:p>
        </w:tc>
      </w:tr>
      <w:tr>
        <w:trPr>
          <w:cantSplit/>
        </w:trPr>
        <w:tc>
          <w:tcPr>
            <w:tcW w:w="32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Agendar, pagar abono, reprogramar y cancelar su propia reserva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 (sin cuenta)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32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Ver historial, puntos y cupones propios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32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«Mis datos»: ejercer derechos y gestionar consentimientos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 (verificación)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 (sus datos)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 (sus datos)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 (sus datos)</w:t>
            </w:r>
          </w:p>
        </w:tc>
      </w:tr>
      <w:tr>
        <w:trPr>
          <w:cantSplit/>
        </w:trPr>
        <w:tc>
          <w:tcPr>
            <w:tcW w:w="32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Consultar sus atenciones, monto de cada una y total acumulado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 (solo lectura)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32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Registrar clientes por orden de llegada y llamar turnos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 (su sucursal)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</w:t>
            </w:r>
          </w:p>
        </w:tc>
      </w:tr>
      <w:tr>
        <w:trPr>
          <w:cantSplit/>
        </w:trPr>
        <w:tc>
          <w:tcPr>
            <w:tcW w:w="32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Confirmar el servicio a prestar e iniciar la atención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 (su sucursal)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</w:t>
            </w:r>
          </w:p>
        </w:tc>
      </w:tr>
      <w:tr>
        <w:trPr>
          <w:cantSplit/>
        </w:trPr>
        <w:tc>
          <w:tcPr>
            <w:tcW w:w="32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Registrar término, monto, propina y medio de pago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 (su sucursal)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</w:t>
            </w:r>
          </w:p>
        </w:tc>
      </w:tr>
      <w:tr>
        <w:trPr>
          <w:cantSplit/>
        </w:trPr>
        <w:tc>
          <w:tcPr>
            <w:tcW w:w="32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Marcar no-show o abandono; cancelar por el local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 (su sucursal)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</w:t>
            </w:r>
          </w:p>
        </w:tc>
      </w:tr>
      <w:tr>
        <w:trPr>
          <w:cantSplit/>
        </w:trPr>
        <w:tc>
          <w:tcPr>
            <w:tcW w:w="32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Ver agenda del día y bloquear horarios de barberos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 (su sucursal)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</w:t>
            </w:r>
          </w:p>
        </w:tc>
      </w:tr>
      <w:tr>
        <w:trPr>
          <w:cantSplit/>
        </w:trPr>
        <w:tc>
          <w:tcPr>
            <w:tcW w:w="32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Gestionar servicios y promociones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 (su sucursal)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</w:t>
            </w:r>
          </w:p>
        </w:tc>
      </w:tr>
      <w:tr>
        <w:trPr>
          <w:cantSplit/>
        </w:trPr>
        <w:tc>
          <w:tcPr>
            <w:tcW w:w="32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Gestionar sucursales y configurar monto de reserva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</w:t>
            </w:r>
          </w:p>
        </w:tc>
      </w:tr>
      <w:tr>
        <w:trPr>
          <w:cantSplit/>
        </w:trPr>
        <w:tc>
          <w:tcPr>
            <w:tcW w:w="32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Ver KPIs y generar reportes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 (su sucursal)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 (consolidado)</w:t>
            </w:r>
          </w:p>
        </w:tc>
      </w:tr>
      <w:tr>
        <w:trPr>
          <w:cantSplit/>
        </w:trPr>
        <w:tc>
          <w:tcPr>
            <w:tcW w:w="32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Atender solicitudes de derechos, auditoría, incidentes y retención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✓</w:t>
            </w:r>
          </w:p>
        </w:tc>
      </w:tr>
    </w:tbl>
    <w:p>
      <w:pPr>
        <w:spacing w:before="60" w:after="160" w:line="252" w:lineRule="auto"/>
      </w:pPr>
      <w:r>
        <w:rPr>
          <w:rFonts w:ascii="Arial" w:hAnsi="Arial" w:cs="Arial" w:eastAsia="Arial"/>
          <w:i/>
          <w:iCs/>
          <w:sz w:val="19"/>
          <w:szCs w:val="19"/>
        </w:rPr>
        <w:t xml:space="preserve">Nota. </w:t>
      </w:r>
      <w:r>
        <w:rPr>
          <w:rFonts w:ascii="Arial" w:hAnsi="Arial" w:cs="Arial" w:eastAsia="Arial"/>
          <w:sz w:val="19"/>
          <w:szCs w:val="19"/>
        </w:rPr>
        <w:t>Elaboración propia (control de acceso basado en roles). El barbero solo consulta su propia información; la confirmación del servicio, el inicio y término de la atención, los montos y los cambios de estado los registra el administrador de sucursal (cajero/a). El barbero no ve la agenda ni datos de contacto de los clientes. Solo los clientes crean su propio perfil; los perfiles de colaboradores los crea exclusivamente el Dueño, que entrega las credenciales en forma personal.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4.5 Retención y eliminación automática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5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Retención y eliminación automática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325"/>
        <w:gridCol w:w="2850"/>
        <w:gridCol w:w="3325"/>
      </w:tblGrid>
      <w:tr>
        <w:trPr>
          <w:tblHeader/>
        </w:trPr>
        <w:tc>
          <w:tcPr>
            <w:tcW w:w="33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Categoría</w:t>
            </w:r>
          </w:p>
        </w:tc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Plazo</w:t>
            </w:r>
          </w:p>
        </w:tc>
        <w:tc>
          <w:tcPr>
            <w:tcW w:w="33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Acción al vencer</w:t>
            </w:r>
          </w:p>
        </w:tc>
      </w:tr>
      <w:tr>
        <w:trPr>
          <w:cantSplit/>
        </w:trPr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Cuenta de cliente inactiva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24 meses sin actividad</w:t>
            </w:r>
          </w:p>
        </w:tc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Aviso 30 días antes y anonimización</w:t>
            </w:r>
          </w:p>
        </w:tc>
      </w:tr>
      <w:tr>
        <w:trPr>
          <w:cantSplit/>
        </w:trPr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Cliente invitado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12 meses desde la última reserva</w:t>
            </w:r>
          </w:p>
        </w:tc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Anonimización</w:t>
            </w:r>
          </w:p>
        </w:tc>
      </w:tr>
      <w:tr>
        <w:trPr>
          <w:cantSplit/>
        </w:trPr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Nombre en fila presencial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24 horas</w:t>
            </w:r>
          </w:p>
        </w:tc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Eliminación</w:t>
            </w:r>
          </w:p>
        </w:tc>
      </w:tr>
      <w:tr>
        <w:trPr>
          <w:cantSplit/>
        </w:trPr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Reservas, atenciones y pagos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6 años</w:t>
            </w:r>
          </w:p>
        </w:tc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Se conservan sin vínculo identificable tras la supresión</w:t>
            </w:r>
          </w:p>
        </w:tc>
      </w:tr>
      <w:tr>
        <w:trPr>
          <w:cantSplit/>
        </w:trPr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Registro de auditoría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24 meses</w:t>
            </w:r>
          </w:p>
        </w:tc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Eliminación por lotes</w:t>
            </w:r>
          </w:p>
        </w:tc>
      </w:tr>
      <w:tr>
        <w:trPr>
          <w:cantSplit/>
        </w:trPr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Consentimientos y solicitudes de derechos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Relación + 5 años / 5 años</w:t>
            </w:r>
          </w:p>
        </w:tc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Eliminación</w:t>
            </w:r>
          </w:p>
        </w:tc>
      </w:tr>
    </w:tbl>
    <w:p>
      <w:pPr>
        <w:spacing w:before="0" w:after="60"/>
      </w:pPr>
    </w:p>
    <w:p>
      <w:pPr>
        <w:pBdr>
          <w:left w:val="single" w:sz="18" w:space="6" w:color="C9A227"/>
        </w:pBdr>
        <w:shd w:val="clear" w:color="auto" w:fill="FFF4D6"/>
        <w:spacing w:before="80" w:after="140" w:line="264" w:lineRule="auto"/>
        <w:ind w:left="120" w:right="120"/>
      </w:pPr>
      <w:r>
        <w:rPr>
          <w:rFonts w:ascii="Arial" w:hAnsi="Arial" w:cs="Arial" w:eastAsia="Arial"/>
          <w:b/>
          <w:bCs/>
          <w:sz w:val="21"/>
          <w:szCs w:val="21"/>
        </w:rPr>
        <w:t xml:space="preserve">SUPUESTO — por validar: </w:t>
      </w:r>
      <w:r>
        <w:rPr>
          <w:rFonts w:ascii="Arial" w:hAnsi="Arial" w:cs="Arial" w:eastAsia="Arial"/>
          <w:sz w:val="21"/>
          <w:szCs w:val="21"/>
        </w:rPr>
        <w:t>Los plazos son propuestos por el equipo (S-17) y quedan parametrizados en la tabla configuracion; validar los plazos tributarios con el contador.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4.6 Privacidad desde el diseño y por defecto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Configuración por defecto más protectora (promociones desactivadas).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Reportes y KPIs con datos agregados o seudonimizados.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Los barberos solo consultan sus propias atenciones y montos, sin datos de contacto de los clientes; los administradores de sucursal, solo los datos de su local.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Sin datos sensibles por diseño; textos libres con advertencia.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Procedimiento de Notificación de Brechas de Seguridad</w:t>
      </w:r>
    </w:p>
    <w:p>
      <w:pPr>
        <w:spacing w:before="0" w:after="60" w:line="264" w:lineRule="auto"/>
        <w:ind w:left="426" w:hanging="284"/>
      </w:pPr>
      <w:r>
        <w:rPr>
          <w:rFonts w:ascii="Arial" w:hAnsi="Arial" w:cs="Arial" w:eastAsia="Arial"/>
          <w:sz w:val="22"/>
          <w:szCs w:val="22"/>
        </w:rPr>
        <w:t xml:space="preserve">1. </w:t>
      </w:r>
      <w:r>
        <w:rPr>
          <w:rFonts w:ascii="Arial" w:hAnsi="Arial" w:cs="Arial" w:eastAsia="Arial"/>
          <w:b/>
          <w:bCs/>
          <w:sz w:val="22"/>
          <w:szCs w:val="22"/>
        </w:rPr>
        <w:t>Detección y registro</w:t>
      </w:r>
      <w:r>
        <w:rPr>
          <w:rFonts w:ascii="Arial" w:hAnsi="Arial" w:cs="Arial" w:eastAsia="Arial"/>
          <w:sz w:val="22"/>
          <w:szCs w:val="22"/>
        </w:rPr>
        <w:t xml:space="preserve"> (inmediato): cualquier integrante que detecte un incidente lo registra en </w:t>
      </w:r>
      <w:r>
        <w:rPr>
          <w:rFonts w:ascii="Consolas" w:hAnsi="Consolas" w:cs="Consolas" w:eastAsia="Consolas"/>
          <w:sz w:val="20"/>
          <w:szCs w:val="20"/>
        </w:rPr>
        <w:t>incidente_seguridad</w:t>
      </w:r>
      <w:r>
        <w:rPr>
          <w:rFonts w:ascii="Arial" w:hAnsi="Arial" w:cs="Arial" w:eastAsia="Arial"/>
          <w:sz w:val="22"/>
          <w:szCs w:val="22"/>
        </w:rPr>
        <w:t xml:space="preserve"> y avisa al responsable de cumplimiento.</w:t>
      </w:r>
    </w:p>
    <w:p>
      <w:pPr>
        <w:spacing w:before="0" w:after="60" w:line="264" w:lineRule="auto"/>
        <w:ind w:left="426" w:hanging="284"/>
      </w:pPr>
      <w:r>
        <w:rPr>
          <w:rFonts w:ascii="Arial" w:hAnsi="Arial" w:cs="Arial" w:eastAsia="Arial"/>
          <w:sz w:val="22"/>
          <w:szCs w:val="22"/>
        </w:rPr>
        <w:t xml:space="preserve">2. </w:t>
      </w:r>
      <w:r>
        <w:rPr>
          <w:rFonts w:ascii="Arial" w:hAnsi="Arial" w:cs="Arial" w:eastAsia="Arial"/>
          <w:b/>
          <w:bCs/>
          <w:sz w:val="22"/>
          <w:szCs w:val="22"/>
        </w:rPr>
        <w:t>Contención</w:t>
      </w:r>
      <w:r>
        <w:rPr>
          <w:rFonts w:ascii="Arial" w:hAnsi="Arial" w:cs="Arial" w:eastAsia="Arial"/>
          <w:sz w:val="22"/>
          <w:szCs w:val="22"/>
        </w:rPr>
        <w:t xml:space="preserve"> (primeras horas): aislar el componente, revocar credenciales comprometidas y preservar evidencia (logs de auditoría).</w:t>
      </w:r>
    </w:p>
    <w:p>
      <w:pPr>
        <w:spacing w:before="0" w:after="60" w:line="264" w:lineRule="auto"/>
        <w:ind w:left="426" w:hanging="284"/>
      </w:pPr>
      <w:r>
        <w:rPr>
          <w:rFonts w:ascii="Arial" w:hAnsi="Arial" w:cs="Arial" w:eastAsia="Arial"/>
          <w:sz w:val="22"/>
          <w:szCs w:val="22"/>
        </w:rPr>
        <w:t xml:space="preserve">3. </w:t>
      </w:r>
      <w:r>
        <w:rPr>
          <w:rFonts w:ascii="Arial" w:hAnsi="Arial" w:cs="Arial" w:eastAsia="Arial"/>
          <w:b/>
          <w:bCs/>
          <w:sz w:val="22"/>
          <w:szCs w:val="22"/>
        </w:rPr>
        <w:t>Evaluación del riesgo</w:t>
      </w:r>
      <w:r>
        <w:rPr>
          <w:rFonts w:ascii="Arial" w:hAnsi="Arial" w:cs="Arial" w:eastAsia="Arial"/>
          <w:sz w:val="22"/>
          <w:szCs w:val="22"/>
        </w:rPr>
        <w:t>: categorías de datos, número de titulares afectados y probabilidad de daño (BAJO / MEDIO / ALTO).</w:t>
      </w:r>
    </w:p>
    <w:p>
      <w:pPr>
        <w:spacing w:before="0" w:after="60" w:line="264" w:lineRule="auto"/>
        <w:ind w:left="426" w:hanging="284"/>
      </w:pPr>
      <w:r>
        <w:rPr>
          <w:rFonts w:ascii="Arial" w:hAnsi="Arial" w:cs="Arial" w:eastAsia="Arial"/>
          <w:sz w:val="22"/>
          <w:szCs w:val="22"/>
        </w:rPr>
        <w:t xml:space="preserve">4. </w:t>
      </w:r>
      <w:r>
        <w:rPr>
          <w:rFonts w:ascii="Arial" w:hAnsi="Arial" w:cs="Arial" w:eastAsia="Arial"/>
          <w:b/>
          <w:bCs/>
          <w:sz w:val="22"/>
          <w:szCs w:val="22"/>
        </w:rPr>
        <w:t>Notificación a la Agencia de Protección de Datos Personales</w:t>
      </w:r>
      <w:r>
        <w:rPr>
          <w:rFonts w:ascii="Arial" w:hAnsi="Arial" w:cs="Arial" w:eastAsia="Arial"/>
          <w:sz w:val="22"/>
          <w:szCs w:val="22"/>
        </w:rPr>
        <w:t xml:space="preserve"> por los medios más expeditos y sin dilaciones indebidas cuando exista riesgo razonable para los derechos de los titulares.</w:t>
      </w:r>
    </w:p>
    <w:p>
      <w:pPr>
        <w:spacing w:before="0" w:after="60" w:line="264" w:lineRule="auto"/>
        <w:ind w:left="426" w:hanging="284"/>
      </w:pPr>
      <w:r>
        <w:rPr>
          <w:rFonts w:ascii="Arial" w:hAnsi="Arial" w:cs="Arial" w:eastAsia="Arial"/>
          <w:sz w:val="22"/>
          <w:szCs w:val="22"/>
        </w:rPr>
        <w:t xml:space="preserve">5. </w:t>
      </w:r>
      <w:r>
        <w:rPr>
          <w:rFonts w:ascii="Arial" w:hAnsi="Arial" w:cs="Arial" w:eastAsia="Arial"/>
          <w:b/>
          <w:bCs/>
          <w:sz w:val="22"/>
          <w:szCs w:val="22"/>
        </w:rPr>
        <w:t>Comunicación a los titulares</w:t>
      </w:r>
      <w:r>
        <w:rPr>
          <w:rFonts w:ascii="Arial" w:hAnsi="Arial" w:cs="Arial" w:eastAsia="Arial"/>
          <w:sz w:val="22"/>
          <w:szCs w:val="22"/>
        </w:rPr>
        <w:t xml:space="preserve"> en lenguaje claro y sencillo cuando corresponda según la ley (p. ej., datos financieros o de menores), indicando medidas recomendadas.</w:t>
      </w:r>
    </w:p>
    <w:p>
      <w:pPr>
        <w:spacing w:before="0" w:after="60" w:line="264" w:lineRule="auto"/>
        <w:ind w:left="426" w:hanging="284"/>
      </w:pPr>
      <w:r>
        <w:rPr>
          <w:rFonts w:ascii="Arial" w:hAnsi="Arial" w:cs="Arial" w:eastAsia="Arial"/>
          <w:sz w:val="22"/>
          <w:szCs w:val="22"/>
        </w:rPr>
        <w:t xml:space="preserve">6. </w:t>
      </w:r>
      <w:r>
        <w:rPr>
          <w:rFonts w:ascii="Arial" w:hAnsi="Arial" w:cs="Arial" w:eastAsia="Arial"/>
          <w:b/>
          <w:bCs/>
          <w:sz w:val="22"/>
          <w:szCs w:val="22"/>
        </w:rPr>
        <w:t>Remediación y cierre</w:t>
      </w:r>
      <w:r>
        <w:rPr>
          <w:rFonts w:ascii="Arial" w:hAnsi="Arial" w:cs="Arial" w:eastAsia="Arial"/>
          <w:sz w:val="22"/>
          <w:szCs w:val="22"/>
        </w:rPr>
        <w:t>: corrección de la causa raíz, registro de lecciones aprendidas y actualización del plan de riesgos.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6. Registro de Actividades de Tratamiento (RAT)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6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Registro de Actividades de Tratamiento (RAT)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520"/>
        <w:gridCol w:w="2090"/>
        <w:gridCol w:w="1235"/>
        <w:gridCol w:w="1710"/>
        <w:gridCol w:w="1330"/>
        <w:gridCol w:w="1615"/>
      </w:tblGrid>
      <w:tr>
        <w:trPr>
          <w:tblHeader/>
        </w:trPr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Actividad</w:t>
            </w:r>
          </w:p>
        </w:tc>
        <w:tc>
          <w:tcPr>
            <w:tcW w:w="209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Finalidad</w:t>
            </w:r>
          </w:p>
        </w:tc>
        <w:tc>
          <w:tcPr>
            <w:tcW w:w="123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Base de licitud</w:t>
            </w:r>
          </w:p>
        </w:tc>
        <w:tc>
          <w:tcPr>
            <w:tcW w:w="171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Datos</w:t>
            </w:r>
          </w:p>
        </w:tc>
        <w:tc>
          <w:tcPr>
            <w:tcW w:w="133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Destinatarios</w:t>
            </w:r>
          </w:p>
        </w:tc>
        <w:tc>
          <w:tcPr>
            <w:tcW w:w="161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Plazo</w:t>
            </w:r>
          </w:p>
        </w:tc>
      </w:tr>
      <w:tr>
        <w:trPr>
          <w:cantSplit/>
        </w:trPr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Gestión de cuentas y reservas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Crear la cuenta, agendar, confirmar y recordar citas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Contrato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Nombre, correo, teléfono, historial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Hosting, correo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Cuenta activa; 24 meses de inactividad</w:t>
            </w:r>
          </w:p>
        </w:tc>
      </w:tr>
      <w:tr>
        <w:trPr>
          <w:cantSplit/>
        </w:trPr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Cobro de abono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Garantizar la asistencia ($3.000)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Contrato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 de transacción, monto, estado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Transbank / Mercado Pago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6 años</w:t>
            </w:r>
          </w:p>
        </w:tc>
      </w:tr>
      <w:tr>
        <w:trPr>
          <w:cantSplit/>
        </w:trPr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Comunicaciones promocionales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Ofertas y beneficios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Consentimiento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Nombre, correo, teléfono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Correo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Hasta revocación</w:t>
            </w:r>
          </w:p>
        </w:tc>
      </w:tr>
      <w:tr>
        <w:trPr>
          <w:cantSplit/>
        </w:trPr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Atención por orden de llegada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Gestionar la fila y medir abandono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Interés legítimo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Nombre de pila (opcional)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Ninguno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24 h; estadística anónima</w:t>
            </w:r>
          </w:p>
        </w:tc>
      </w:tr>
      <w:tr>
        <w:trPr>
          <w:cantSplit/>
        </w:trPr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Registro de atenciones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Reemplazar el Excel, caja y reportes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Contrato / obligación legal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Servicio, monto, barbero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Ninguno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6 años</w:t>
            </w:r>
          </w:p>
        </w:tc>
      </w:tr>
      <w:tr>
        <w:trPr>
          <w:cantSplit/>
        </w:trPr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Derechos del titular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Atender solicitudes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Obligación legal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Identificación y detalle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Ninguno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5 años</w:t>
            </w:r>
          </w:p>
        </w:tc>
      </w:tr>
      <w:tr>
        <w:trPr>
          <w:cantSplit/>
        </w:trPr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Seguridad y auditoría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Prevenir y detectar incidentes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Interés legítimo / obligación legal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Usuario, acción, IP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Ninguno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24 meses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7. Gobierno de Datos (marco DAMA-DMBOK)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El modelo de gobierno se basa en el marco de referencia DAMA-DMBOK (DAMA International, 2017), adaptado al tamaño del negocio.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 Roles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7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Roles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375"/>
        <w:gridCol w:w="2850"/>
        <w:gridCol w:w="4275"/>
      </w:tblGrid>
      <w:tr>
        <w:trPr>
          <w:tblHeader/>
        </w:trPr>
        <w:tc>
          <w:tcPr>
            <w:tcW w:w="23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Rol</w:t>
            </w:r>
          </w:p>
        </w:tc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Asignado a</w:t>
            </w:r>
          </w:p>
        </w:tc>
        <w:tc>
          <w:tcPr>
            <w:tcW w:w="42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Responsabilidades</w:t>
            </w:r>
          </w:p>
        </w:tc>
      </w:tr>
      <w:tr>
        <w:trPr>
          <w:cantSplit/>
        </w:trPr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Dueño de los datos (Data Owner)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Dueño/a de Barbería Big-Boys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Define finalidades, aprueba políticas, plazos de retención y accesos; responde ante la Agencia como responsable del tratamiento.</w:t>
            </w:r>
          </w:p>
        </w:tc>
      </w:tr>
      <w:tr>
        <w:trPr>
          <w:cantSplit/>
        </w:trPr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Custodio técnico (Data Custodian)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Desarrollador / administrador del sistema (Jonathan Ojeda durante el proyecto)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Implementa controles técnicos, respaldos, cifrado, permisos y la retención automática.</w:t>
            </w:r>
          </w:p>
        </w:tc>
      </w:tr>
      <w:tr>
        <w:trPr>
          <w:cantSplit/>
        </w:trPr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Responsable de cumplimiento / Encargado de protección de datos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Persona designada por el dueño/a [por validar] (Yerko Rosales durante el proyecto)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Atiende solicitudes de derechos, mantiene el RAT, coordina brechas y capacita al personal.</w:t>
            </w:r>
          </w:p>
        </w:tc>
      </w:tr>
      <w:tr>
        <w:trPr>
          <w:cantSplit/>
        </w:trPr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Usuarios de datos (Data Stewards operativos)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Administradores de sucursal y barberos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Registran datos correctos y completos; usan los datos solo para la finalidad de servicio.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 Matriz RACI de gobierno de datos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8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Matriz RACI de gobierno de datos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420"/>
        <w:gridCol w:w="1520"/>
        <w:gridCol w:w="1520"/>
        <w:gridCol w:w="1520"/>
        <w:gridCol w:w="1520"/>
      </w:tblGrid>
      <w:tr>
        <w:trPr>
          <w:tblHeader/>
        </w:trPr>
        <w:tc>
          <w:tcPr>
            <w:tcW w:w="34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Actividad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Dueño de los datos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Custodio técnico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Resp. de cumplimiento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Usuarios de datos</w:t>
            </w:r>
          </w:p>
        </w:tc>
      </w:tr>
      <w:tr>
        <w:trPr>
          <w:cantSplit/>
        </w:trPr>
        <w:tc>
          <w:tcPr>
            <w:tcW w:w="34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Aprobar políticas de privacidad y retención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I</w:t>
            </w:r>
          </w:p>
        </w:tc>
      </w:tr>
      <w:tr>
        <w:trPr>
          <w:cantSplit/>
        </w:trPr>
        <w:tc>
          <w:tcPr>
            <w:tcW w:w="34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Clasificar datos y mantener el diccionario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I</w:t>
            </w:r>
          </w:p>
        </w:tc>
      </w:tr>
      <w:tr>
        <w:trPr>
          <w:cantSplit/>
        </w:trPr>
        <w:tc>
          <w:tcPr>
            <w:tcW w:w="34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Gestionar accesos por rol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I</w:t>
            </w:r>
          </w:p>
        </w:tc>
      </w:tr>
      <w:tr>
        <w:trPr>
          <w:cantSplit/>
        </w:trPr>
        <w:tc>
          <w:tcPr>
            <w:tcW w:w="34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Atender solicitudes de derechos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I</w:t>
            </w:r>
          </w:p>
        </w:tc>
      </w:tr>
      <w:tr>
        <w:trPr>
          <w:cantSplit/>
        </w:trPr>
        <w:tc>
          <w:tcPr>
            <w:tcW w:w="34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Ejecutar retención y anonimización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I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—</w:t>
            </w:r>
          </w:p>
        </w:tc>
      </w:tr>
      <w:tr>
        <w:trPr>
          <w:cantSplit/>
        </w:trPr>
        <w:tc>
          <w:tcPr>
            <w:tcW w:w="34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Gestionar brechas de seguridad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I</w:t>
            </w:r>
          </w:p>
        </w:tc>
      </w:tr>
      <w:tr>
        <w:trPr>
          <w:cantSplit/>
        </w:trPr>
        <w:tc>
          <w:tcPr>
            <w:tcW w:w="34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Mantener el RAT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—</w:t>
            </w:r>
          </w:p>
        </w:tc>
      </w:tr>
      <w:tr>
        <w:trPr>
          <w:cantSplit/>
        </w:trPr>
        <w:tc>
          <w:tcPr>
            <w:tcW w:w="34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Calidad del dato en la operación diaria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I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</w:t>
            </w:r>
          </w:p>
        </w:tc>
      </w:tr>
      <w:tr>
        <w:trPr>
          <w:cantSplit/>
        </w:trPr>
        <w:tc>
          <w:tcPr>
            <w:tcW w:w="34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Capacitación en protección de datos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I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I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7.3 Clasificación de datos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9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Clasificación de datos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710"/>
        <w:gridCol w:w="3990"/>
        <w:gridCol w:w="3800"/>
      </w:tblGrid>
      <w:tr>
        <w:trPr>
          <w:tblHeader/>
        </w:trPr>
        <w:tc>
          <w:tcPr>
            <w:tcW w:w="171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Nivel</w:t>
            </w:r>
          </w:p>
        </w:tc>
        <w:tc>
          <w:tcPr>
            <w:tcW w:w="399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Ejemplos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Controles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Público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Sucursales, servicios, precios, barberos publicados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Sin restricción de lectura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Interno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Reservas, atenciones, configuración, KPIs</w:t>
            </w:r>
          </w:p>
        </w:tc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Acceso por rol y sucursal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Dato personal</w:t>
            </w:r>
          </w:p>
        </w:tc>
        <w:tc>
          <w:tcPr>
            <w:tcW w:w="3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Nombre, correo, teléfono, IP, consentimientos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Acceso mínimo necesario, auditoría, cifrado, retención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Dato sensible</w:t>
            </w:r>
          </w:p>
        </w:tc>
        <w:tc>
          <w:tcPr>
            <w:tcW w:w="39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No se tratan por diseño</w:t>
            </w:r>
          </w:p>
        </w:tc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Prohibido registrarlos en campos libres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7.4 Ciclo de vida del dato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Figura 6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DIAG-29 — Gobierno de datos: ciclo de vida del dato personal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00000" cy="350585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-29_Gobierno_de_datos_ciclo_de_vida_del_dato_perso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505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 w:line="252" w:lineRule="auto"/>
      </w:pPr>
      <w:r>
        <w:rPr>
          <w:rFonts w:ascii="Arial" w:hAnsi="Arial" w:cs="Arial" w:eastAsia="Arial"/>
          <w:i/>
          <w:iCs/>
          <w:sz w:val="19"/>
          <w:szCs w:val="19"/>
        </w:rPr>
        <w:t xml:space="preserve">Nota. </w:t>
      </w:r>
      <w:r>
        <w:rPr>
          <w:rFonts w:ascii="Arial" w:hAnsi="Arial" w:cs="Arial" w:eastAsia="Arial"/>
          <w:sz w:val="19"/>
          <w:szCs w:val="19"/>
        </w:rPr>
        <w:t>Etapas del ciclo de vida (captura, uso, conservación y eliminación) con los controles aplicados en cada una, según el marco DAMA-DMBOK y la Ley N° 21.719. Elaboración propia con PlantUML. Notación basada en DAMA International (2017).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7.5 Políticas de calidad, retención y acceso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Calidad</w:t>
      </w:r>
      <w:r>
        <w:rPr>
          <w:rFonts w:ascii="Arial" w:hAnsi="Arial" w:cs="Arial" w:eastAsia="Arial"/>
          <w:sz w:val="22"/>
          <w:szCs w:val="22"/>
        </w:rPr>
        <w:t>: validación de formato en origen (correo, teléfono), datos obligatorios mínimos, corrección por el titular (rectificación) y reglas de integridad en la BD.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Retención</w:t>
      </w:r>
      <w:r>
        <w:rPr>
          <w:rFonts w:ascii="Arial" w:hAnsi="Arial" w:cs="Arial" w:eastAsia="Arial"/>
          <w:sz w:val="22"/>
          <w:szCs w:val="22"/>
        </w:rPr>
        <w:t>: plazos de la sección 4.5, parametrizados y ejecutados automáticamente.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Acceso</w:t>
      </w:r>
      <w:r>
        <w:rPr>
          <w:rFonts w:ascii="Arial" w:hAnsi="Arial" w:cs="Arial" w:eastAsia="Arial"/>
          <w:sz w:val="22"/>
          <w:szCs w:val="22"/>
        </w:rPr>
        <w:t>: principio de mínimo privilegio; revisión trimestral de usuarios y roles; desactivación inmediata al término de la relación laboral.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8. Cuantificación del Valor Agregado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10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Riesgo de sanciones evitado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4275"/>
        <w:gridCol w:w="1900"/>
        <w:gridCol w:w="3325"/>
      </w:tblGrid>
      <w:tr>
        <w:trPr>
          <w:tblHeader/>
        </w:trPr>
        <w:tc>
          <w:tcPr>
            <w:tcW w:w="42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Tipo de infracción (régimen sancionatorio, art. 35 — Ley N° 21.719)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Multa máxima</w:t>
            </w:r>
          </w:p>
        </w:tc>
        <w:tc>
          <w:tcPr>
            <w:tcW w:w="33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Equivalente en CLP (UTM oct-2026 = $72.151)</w:t>
            </w:r>
          </w:p>
        </w:tc>
      </w:tr>
      <w:tr>
        <w:trPr>
          <w:cantSplit/>
        </w:trPr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Leve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5.000 UTM</w:t>
            </w:r>
          </w:p>
        </w:tc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$360.755.000</w:t>
            </w:r>
          </w:p>
        </w:tc>
      </w:tr>
      <w:tr>
        <w:trPr>
          <w:cantSplit/>
        </w:trPr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Grave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10.000 UTM</w:t>
            </w:r>
          </w:p>
        </w:tc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$721.510.000</w:t>
            </w:r>
          </w:p>
        </w:tc>
      </w:tr>
      <w:tr>
        <w:trPr>
          <w:cantSplit/>
        </w:trPr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Gravísima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20.000 UTM</w:t>
            </w:r>
          </w:p>
        </w:tc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$1.443.020.000</w:t>
            </w:r>
          </w:p>
        </w:tc>
      </w:tr>
    </w:tbl>
    <w:p>
      <w:pPr>
        <w:spacing w:before="0" w:after="60"/>
      </w:pPr>
    </w:p>
    <w:p>
      <w:pPr>
        <w:spacing w:before="60" w:after="160" w:line="252" w:lineRule="auto"/>
      </w:pPr>
      <w:r>
        <w:rPr>
          <w:rFonts w:ascii="Arial" w:hAnsi="Arial" w:cs="Arial" w:eastAsia="Arial"/>
          <w:i/>
          <w:iCs/>
          <w:sz w:val="19"/>
          <w:szCs w:val="19"/>
        </w:rPr>
        <w:t xml:space="preserve">Nota. </w:t>
      </w:r>
      <w:r>
        <w:rPr>
          <w:rFonts w:ascii="Arial" w:hAnsi="Arial" w:cs="Arial" w:eastAsia="Arial"/>
          <w:sz w:val="19"/>
          <w:szCs w:val="19"/>
        </w:rPr>
        <w:t>Montos máximos del régimen sancionatorio (Ley N° 21.719, 2024), convertidos con la UTM de octubre de 2026, $72.151 (SII, 2026a). En caso de reincidencia, para empresas que no son de menor tamaño, la multa puede triplicarse o alcanzar el 2% (graves) o 4% (gravísimas) de los ingresos anuales. Durante los primeros 12 meses de vigencia, las empresas de menor tamaño pueden recibir amonestación escrita en lugar de multa (art. 6° transitorio).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Cuantificación del Valor Agregado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325"/>
        <w:gridCol w:w="6175"/>
      </w:tblGrid>
      <w:tr>
        <w:trPr>
          <w:tblHeader/>
        </w:trPr>
        <w:tc>
          <w:tcPr>
            <w:tcW w:w="33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Beneficio</w:t>
            </w:r>
          </w:p>
        </w:tc>
        <w:tc>
          <w:tcPr>
            <w:tcW w:w="61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Cuantificación</w:t>
            </w:r>
          </w:p>
        </w:tc>
      </w:tr>
      <w:tr>
        <w:trPr>
          <w:cantSplit/>
        </w:trPr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Costo de adecuación posterior evitado</w:t>
            </w:r>
          </w:p>
        </w:tc>
        <w:tc>
          <w:tcPr>
            <w:tcW w:w="6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$525.546 (120 h de adecuación vs. 34 h de cumplimiento desde el diseño; supuesto S-18)</w:t>
            </w:r>
          </w:p>
        </w:tc>
      </w:tr>
      <w:tr>
        <w:trPr>
          <w:cantSplit/>
        </w:trPr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Multa máxima evitada (infracción grave)</w:t>
            </w:r>
          </w:p>
        </w:tc>
        <w:tc>
          <w:tcPr>
            <w:tcW w:w="61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$721.510.000</w:t>
            </w:r>
          </w:p>
        </w:tc>
      </w:tr>
      <w:tr>
        <w:trPr>
          <w:cantSplit/>
        </w:trPr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Confianza del cliente</w:t>
            </w:r>
          </w:p>
        </w:tc>
        <w:tc>
          <w:tcPr>
            <w:tcW w:w="6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Mensaje diferenciador: «Tus datos protegidos según la nueva ley, desde el primer día»</w:t>
            </w:r>
          </w:p>
        </w:tc>
      </w:tr>
      <w:tr>
        <w:trPr>
          <w:cantSplit/>
        </w:trPr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Protección de la reputación</w:t>
            </w:r>
          </w:p>
        </w:tc>
        <w:tc>
          <w:tcPr>
            <w:tcW w:w="61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Procedimiento de brechas y transparencia reducen el impacto de un incidente</w:t>
            </w:r>
          </w:p>
        </w:tc>
      </w:tr>
      <w:tr>
        <w:trPr>
          <w:cantSplit/>
        </w:trPr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Preparación ante fiscalización</w:t>
            </w:r>
          </w:p>
        </w:tc>
        <w:tc>
          <w:tcPr>
            <w:tcW w:w="6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RAT, políticas, auditoría y evidencias listas para la Agencia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Carey Abogados. (2026). </w:t>
      </w:r>
      <w:r>
        <w:rPr>
          <w:rFonts w:ascii="Arial" w:hAnsi="Arial" w:cs="Arial" w:eastAsia="Arial"/>
          <w:i/>
          <w:iCs/>
          <w:sz w:val="22"/>
          <w:szCs w:val="22"/>
        </w:rPr>
        <w:t>Gobierno ingresa proyecto de ley que posterga en un año entrada en vigor de la Ley 21.719 sobre Protección de Datos Personales y fortalece la institucionalidad de la Agencia de Protección de Datos Personales</w:t>
      </w:r>
      <w:r>
        <w:rPr>
          <w:rFonts w:ascii="Arial" w:hAnsi="Arial" w:cs="Arial" w:eastAsia="Arial"/>
          <w:sz w:val="22"/>
          <w:szCs w:val="22"/>
        </w:rPr>
        <w:t>. https://www.carey.cl/gobierno-ingresa-proyecto-de-ley-que-posterga-en-un-ano-entrada-en-vigor-de-la-ley-sobre-proteccion-de-datos-personales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DAMA International. (2017). </w:t>
      </w:r>
      <w:r>
        <w:rPr>
          <w:rFonts w:ascii="Arial" w:hAnsi="Arial" w:cs="Arial" w:eastAsia="Arial"/>
          <w:i/>
          <w:iCs/>
          <w:sz w:val="22"/>
          <w:szCs w:val="22"/>
        </w:rPr>
        <w:t>DAMA-DMBOK: Data management body of knowledge</w:t>
      </w:r>
      <w:r>
        <w:rPr>
          <w:rFonts w:ascii="Arial" w:hAnsi="Arial" w:cs="Arial" w:eastAsia="Arial"/>
          <w:sz w:val="22"/>
          <w:szCs w:val="22"/>
        </w:rPr>
        <w:t xml:space="preserve"> (2.ª ed.). Technics Publications.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19.628. (1999, 28 de agosto). </w:t>
      </w:r>
      <w:r>
        <w:rPr>
          <w:rFonts w:ascii="Arial" w:hAnsi="Arial" w:cs="Arial" w:eastAsia="Arial"/>
          <w:i/>
          <w:iCs/>
          <w:sz w:val="22"/>
          <w:szCs w:val="22"/>
        </w:rPr>
        <w:t>Sobre protección de la vida privada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https://www.bcn.cl/leychile/navegar?idNorma=141599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21.719. (2024, 13 de diciembre). </w:t>
      </w:r>
      <w:r>
        <w:rPr>
          <w:rFonts w:ascii="Arial" w:hAnsi="Arial" w:cs="Arial" w:eastAsia="Arial"/>
          <w:i/>
          <w:iCs/>
          <w:sz w:val="22"/>
          <w:szCs w:val="22"/>
        </w:rPr>
        <w:t>Regula la protección y el tratamiento de los datos personales y crea la Agencia de Protección de Datos Personales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https://www.bcn.cl/leychile/navegar?idNorma=1209272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PCI Security Standards Council. (2022). </w:t>
      </w:r>
      <w:r>
        <w:rPr>
          <w:rFonts w:ascii="Arial" w:hAnsi="Arial" w:cs="Arial" w:eastAsia="Arial"/>
          <w:i/>
          <w:iCs/>
          <w:sz w:val="22"/>
          <w:szCs w:val="22"/>
        </w:rPr>
        <w:t>Payment Card Industry Data Security Standard</w:t>
      </w:r>
      <w:r>
        <w:rPr>
          <w:rFonts w:ascii="Arial" w:hAnsi="Arial" w:cs="Arial" w:eastAsia="Arial"/>
          <w:sz w:val="22"/>
          <w:szCs w:val="22"/>
        </w:rPr>
        <w:t xml:space="preserve"> (versión 4.0). https://www.pcisecuritystandards.org/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Servicio de Impuestos Internos [SII]. (2026a). </w:t>
      </w:r>
      <w:r>
        <w:rPr>
          <w:rFonts w:ascii="Arial" w:hAnsi="Arial" w:cs="Arial" w:eastAsia="Arial"/>
          <w:i/>
          <w:iCs/>
          <w:sz w:val="22"/>
          <w:szCs w:val="22"/>
        </w:rPr>
        <w:t>Unidad Tributaria Mensual (UTM) 2026</w:t>
      </w:r>
      <w:r>
        <w:rPr>
          <w:rFonts w:ascii="Arial" w:hAnsi="Arial" w:cs="Arial" w:eastAsia="Arial"/>
          <w:sz w:val="22"/>
          <w:szCs w:val="22"/>
        </w:rPr>
        <w:t>. Recuperado el 6 de octubre de 2026, de https://www.sii.cl/valores_y_fechas/utm/utm2026.htm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>Anexo A — Cumplimiento Normativo y Gobierno de Datos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2026-08-27T15:54:55.185Z</dcterms:created>
  <dcterms:modified xsi:type="dcterms:W3CDTF">2026-08-27T15:54:55.185Z</dcterms:modified>
  <dc:title>Anexo_A_Cumplimiento_Normativo_y_Gobierno_de_Datos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