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803E4C4" w14:textId="77777777" w:rsidR="003A56F9" w:rsidRDefault="00000000">
      <w:pPr>
        <w:spacing w:before="400" w:after="400"/>
        <w:jc w:val="center"/>
      </w:pPr>
      <w:r>
        <w:rPr>
          <w:b/>
          <w:bCs/>
          <w:color w:val="1F3864"/>
          <w:sz w:val="32"/>
          <w:szCs w:val="32"/>
        </w:rPr>
        <w:t>DUOC UC</w:t>
      </w:r>
    </w:p>
    <w:p w14:paraId="69C650E8" w14:textId="77777777" w:rsidR="003A56F9" w:rsidRDefault="00000000">
      <w:pPr>
        <w:spacing w:after="600"/>
        <w:jc w:val="center"/>
      </w:pPr>
      <w:r>
        <w:rPr>
          <w:sz w:val="22"/>
          <w:szCs w:val="22"/>
        </w:rPr>
        <w:t>Escuela de Informática y Telecomunicaciones</w:t>
      </w:r>
    </w:p>
    <w:p w14:paraId="781AD5AE" w14:textId="77777777" w:rsidR="003A56F9" w:rsidRDefault="00000000">
      <w:pPr>
        <w:spacing w:before="800" w:after="200"/>
        <w:jc w:val="center"/>
      </w:pPr>
      <w:r>
        <w:rPr>
          <w:b/>
          <w:bCs/>
          <w:color w:val="1F3864"/>
          <w:sz w:val="32"/>
          <w:szCs w:val="32"/>
        </w:rPr>
        <w:t>Inventario y Resumen de Cambios</w:t>
      </w:r>
    </w:p>
    <w:p w14:paraId="402B79DA" w14:textId="77777777" w:rsidR="008C0EC9" w:rsidRDefault="00000000">
      <w:pPr>
        <w:spacing w:after="800"/>
        <w:jc w:val="center"/>
        <w:rPr>
          <w:b/>
          <w:bCs/>
        </w:rPr>
      </w:pPr>
      <w:r>
        <w:rPr>
          <w:b/>
          <w:bCs/>
        </w:rPr>
        <w:t>Proyecto Barbería Big-Boys</w:t>
      </w:r>
    </w:p>
    <w:p w14:paraId="7FFFE397" w14:textId="77777777" w:rsidR="008C0EC9" w:rsidRDefault="00000000">
      <w:pPr>
        <w:spacing w:after="800"/>
        <w:jc w:val="center"/>
        <w:rPr>
          <w:b/>
          <w:bCs/>
        </w:rPr>
      </w:pPr>
      <w:r>
        <w:rPr>
          <w:b/>
          <w:bCs/>
        </w:rPr>
        <w:t>—</w:t>
      </w:r>
    </w:p>
    <w:p w14:paraId="388468A6" w14:textId="5EEE88B8" w:rsidR="003A56F9" w:rsidRDefault="00000000">
      <w:pPr>
        <w:spacing w:after="800"/>
        <w:jc w:val="center"/>
      </w:pPr>
      <w:r>
        <w:rPr>
          <w:b/>
          <w:bCs/>
        </w:rPr>
        <w:t>Sistema de agendamiento y gestión (web + app móvil)</w:t>
      </w:r>
      <w:proofErr w:type="gramStart"/>
      <w:r>
        <w:rPr>
          <w:b/>
          <w:bCs/>
        </w:rPr>
      </w:r>
      <w:proofErr w:type="gramEnd"/>
      <w:r>
        <w:rPr>
          <w:b/>
          <w:bCs/>
        </w:rPr>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Asignatura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PTY4614 — Capstone</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Sección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CAPSTONE_011V</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Docente</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Fernando Herrera</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Integrantes</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Yerko Rosales (Jefe de Proyecto, Analista y Diseño UX/UI) · Jonathan Ojeda (Desarrollo Backend y Base de Datos)</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Fecha de entrega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22 de octubre de 2026 (actualización de coherencia; S11)</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Versión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2.0</w:t>
            </w:r>
          </w:p>
        </w:tc>
      </w:tr>
    </w:tbl>
    <w:p>
      <w:pPr>
        <w:pStyle w:val="Heading1"/>
        <w:keepNext/>
        <w:spacing w:before="360" w:after="160"/>
      </w:pPr>
      <w:r>
        <w:rPr>
          <w:rFonts w:ascii="Arial" w:hAnsi="Arial" w:cs="Arial" w:eastAsia="Arial"/>
          <w:b/>
          <w:bCs/>
          <w:color w:val="1F3864"/>
          <w:sz w:val="28"/>
          <w:szCs w:val="28"/>
        </w:rPr>
        <w:t>1. Propósito</w:t>
      </w:r>
    </w:p>
    <w:p>
      <w:pPr>
        <w:spacing w:before="0" w:after="120" w:line="276" w:lineRule="auto"/>
        <w:jc w:val="both"/>
      </w:pPr>
      <w:r>
        <w:rPr>
          <w:rFonts w:ascii="Arial" w:hAnsi="Arial" w:cs="Arial" w:eastAsia="Arial"/>
          <w:sz w:val="22"/>
          <w:szCs w:val="22"/>
        </w:rPr>
        <w:t>Este documento resume la actualización integral de la documentación del Proyecto Barbería Big-Boys realizada el 9 de octubre de 2026, con el código en pausa (stand by), y la actualización de coherencia del 22 de octubre de 2026 (sección 8). Incluye el inventario inicial, los cambios por documento, los nuevos entregables, los diagramas y los supuestos que deben validarse.</w:t>
      </w:r>
    </w:p>
    <w:p>
      <w:pPr>
        <w:pStyle w:val="Heading1"/>
        <w:keepNext/>
        <w:spacing w:before="360" w:after="160"/>
      </w:pPr>
      <w:r>
        <w:rPr>
          <w:rFonts w:ascii="Arial" w:hAnsi="Arial" w:cs="Arial" w:eastAsia="Arial"/>
          <w:b/>
          <w:bCs/>
          <w:color w:val="1F3864"/>
          <w:sz w:val="28"/>
          <w:szCs w:val="28"/>
        </w:rPr>
        <w:t>2. Inventario inicial y cambios por documento</w:t>
      </w:r>
    </w:p>
    <w:p>
      <w:pPr>
        <w:keepNext/>
        <w:spacing w:before="160" w:after="0"/>
      </w:pPr>
      <w:r>
        <w:rPr>
          <w:rFonts w:ascii="Arial" w:hAnsi="Arial" w:cs="Arial" w:eastAsia="Arial"/>
          <w:b/>
          <w:bCs/>
          <w:sz w:val="21"/>
          <w:szCs w:val="21"/>
        </w:rPr>
        <w:t>Tabla 1</w:t>
      </w:r>
    </w:p>
    <w:p>
      <w:pPr>
        <w:keepNext/>
        <w:spacing w:before="0" w:after="80"/>
      </w:pPr>
      <w:r>
        <w:rPr>
          <w:rFonts w:ascii="Arial" w:hAnsi="Arial" w:cs="Arial" w:eastAsia="Arial"/>
          <w:i/>
          <w:iCs/>
          <w:sz w:val="21"/>
          <w:szCs w:val="21"/>
        </w:rPr>
        <w:t>Inventario inicial y cambios por documento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615"/>
        <w:gridCol w:w="1425"/>
        <w:gridCol w:w="2375"/>
        <w:gridCol w:w="2850"/>
        <w:gridCol w:w="1235"/>
      </w:tblGrid>
      <w:tr>
        <w:trPr>
          <w:tblHeader/>
        </w:trPr>
        <w:tc>
          <w:tcPr>
            <w:tcW w:w="161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Documento</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Estado al inicio</w:t>
            </w:r>
          </w:p>
        </w:tc>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Desactualizado / inconsistente</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Cambio realizado</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¿Tenía protección de datos / gobierno?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Acta de Constitución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(v1.0)</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 sucursales; abono «porcentaje»; patrocinador pendiente; sin KPIs ni beneficios cuantificados; sin objetivo de datos personales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Reescrita v2.0: 3 sucursales, $3.000, KPIs y beneficios, OE5 y diferenciador Ley N° 21.719, Agencia como interesado</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Acta Kick-Off</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(registro de reunión)</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 sucursales; RUT obligatorio; abono «simulado»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Ajustes de nombre y sucursales; nota de actualización que prevalece sobre el texto original (se conserva el registro histórico)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ERS (IEEE 830)</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(rev. 03)</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37 RF / 6 RNF; RUT obligatorio; abono $5.000; Cloud Firestore; entrega 8-11; 2 sucursales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Rev. 04: 63 RF (58 de la V1 y 5 del roadmap V2) / 11 RNF; módulos J (privacidad), K (sucursal) y L (gobierno); BD relacional; fechas corregidas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Parcial (RNF-03 de seguridad y RUT; sin Ley N° 21.719 ni derechos)</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DAS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(v2.1)</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Firestore; 2 sucursales; modelo ER desactualizado; 4+1 incompleto (sin diagramas de procesos, desarrollo ni casos de uso)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v3.0 (actualizado a v3.1 el 22-10-2026): 4+1 completo con 35 diagramas, BD relacional, despliegue actual y futuro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Parcial (seguridad técnica, sin gobierno de datos)</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Matriz RACI (xlsx)</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«Ambas sucursales»; sin actividades de datos, riesgos ni cambios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3 sucursales y 8 actividades nuevas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02 Plan de Interesados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 (GPY6111, «Blade &amp; Co.»)</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Agencia de Protección de Datos como interesado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03 Plan de Dirección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enfoque híbrido; gobierno de datos transversal</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04 Documento de Requerimientos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5 RF de ejemplo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63 RF / 11 RNF con criterios y trazabilidad a objetivos y CU</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05 Informe de Alcance</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con justificación cuantificada (KPIs) y supuestos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06 EDT y Diccionario</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24 paquetes, diagrama WBS y diccionario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07 Cronograma y Gantt</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Actividades, Carta Gantt, ruta crítica e hitos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08 Plan de Costos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Línea base valorizada, KPIs, impacto, ROI, costos cloud y valor Ley N° 21.719</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09 Plan de Calidad</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Objetivos, normas (ISO 25010, OWASP, Ley N° 21.719), métricas y KPIs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 Recursos, Comunicaciones y Adquisiciones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contratos de encargo de tratamiento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11 Control de Cambios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Proceso, CCB y registro SC-01 a SC-21</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12 Informe de Avance</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22-10-2026</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13 Acta de Cierre</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Borrador v0.9 (se completa al cierre)</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14 Informe de Cierre y Lecciones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Borrador v0.9 con lecciones aprendidas a la fecha</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Guía 1.5 Fase 1</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Entregado (04-09)</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Abono «porcentaje»; Fase 3 al 8-11</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Abono $3.000 y fecha 13-11 corregidos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Presentación Fase 1 (pptx)</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Presentado (04-09)</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 «reemplace» la atención por orden de llegada (incorrecto); abono «porcentaje»</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 corregido, abono y temas abiertos actualizados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Presentación de Avance Fase 2 (pptx)</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Presentado (11-09)</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11-09; sin KPIs ni cumplimiento normativo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06-10 y 5 láminas nuevas (KPIs, impacto/ROI, abono, Ley N° 21.719, arquitectura)</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README del repositorio</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Avance 30%; temas abiertos ya resueltos</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Actualizado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Evidencias individuales (autoevaluaciones y diarios)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Entregadas</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se modifican (documentos personales)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aplica</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Placeholders Fase 2/3 (0 bytes)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Vacíos</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Guía 2.4, Informe 2.6, diarios y presentación final pendientes</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se modifican (entregables futuros)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aplica</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Análisis Modelo de Datos (memo del 06-10)</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Memo interno para el equipo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Se conserva como antecedente (sus recomendaciones quedaron incorporadas)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bl>
    <w:p>
      <w:pPr>
        <w:spacing w:before="0" w:after="60"/>
      </w:pPr>
    </w:p>
    <w:p>
      <w:pPr>
        <w:pStyle w:val="Heading1"/>
        <w:keepNext/>
        <w:spacing w:before="360" w:after="160"/>
      </w:pPr>
      <w:r>
        <w:rPr>
          <w:rFonts w:ascii="Arial" w:hAnsi="Arial" w:cs="Arial" w:eastAsia="Arial"/>
          <w:b/>
          <w:bCs/>
          <w:color w:val="1F3864"/>
          <w:sz w:val="28"/>
          <w:szCs w:val="28"/>
        </w:rPr>
        <w:t>3. Nuevos entregables</w:t>
      </w:r>
    </w:p>
    <w:p>
      <w:pPr>
        <w:keepNext/>
        <w:spacing w:before="160" w:after="0"/>
      </w:pPr>
      <w:r>
        <w:rPr>
          <w:rFonts w:ascii="Arial" w:hAnsi="Arial" w:cs="Arial" w:eastAsia="Arial"/>
          <w:b/>
          <w:bCs/>
          <w:sz w:val="21"/>
          <w:szCs w:val="21"/>
        </w:rPr>
        <w:t>Tabla 2</w:t>
      </w:r>
    </w:p>
    <w:p>
      <w:pPr>
        <w:keepNext/>
        <w:spacing w:before="0" w:after="80"/>
      </w:pPr>
      <w:r>
        <w:rPr>
          <w:rFonts w:ascii="Arial" w:hAnsi="Arial" w:cs="Arial" w:eastAsia="Arial"/>
          <w:i/>
          <w:iCs/>
          <w:sz w:val="21"/>
          <w:szCs w:val="21"/>
        </w:rPr>
        <w:t>Nuevos entregables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800"/>
        <w:gridCol w:w="5700"/>
      </w:tblGrid>
      <w:tr>
        <w:trPr>
          <w:tblHeader/>
        </w:trPr>
        <w:tc>
          <w:tcPr>
            <w:tcW w:w="38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Archivo</w:t>
            </w:r>
          </w:p>
        </w:tc>
        <w:tc>
          <w:tcPr>
            <w:tcW w:w="57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Contenido</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15_Plan_Gestion_Riesgos.docx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 riesgos, matriz P×I y riesgo regulatorio cuantificado</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16_Diseno_Base_de_Datos.docx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MER, modelo relacional (27 tablas), diccionario con clasificación/finalidad/plazo, DDL y validación</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17_Especificacion_Casos_de_Uso.docx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41 casos de uso con diagramas por módulo</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18_Plan_y_Casos_de_Prueba.docx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Plan de pruebas (ISO/IEC/IEEE 29119-3): 77 casos funcionales, 24 pruebas automatizadas de base de datos, 11 casos no funcionales y 6 escenarios de aceptación</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Anexo_A_Cumplimiento_Normativo_y_Gobierno_de_Datos.docx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Marco legal, matriz de cumplimiento, brechas, RAT y gobierno DAMA-DMBOK</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Politica_de_Privacidad_y_Terminos_y_Condiciones.docx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Textos listos para publicar (con campos por completar)</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KPIs_y_Costos_Barberia_Big-Boys.xlsx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Modelo de KPIs, ROI y costos cloud con fórmulas y supuestos editables</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Diagramas/ (PNG, SVG y PlantUML)</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35 diagramas numerados con código fuente</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Base_de_Datos/bigboys_ddl.sql</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Script DDL PostgreSQL validado (22/22 pruebas en PGlite el 08-10-2026 y en Supabase el 20-10-2026; 24/24 con la tabla resena el 22-10-2026)</w:t>
            </w:r>
          </w:p>
        </w:tc>
      </w:tr>
    </w:tbl>
    <w:p>
      <w:pPr>
        <w:spacing w:before="0" w:after="60"/>
      </w:pPr>
    </w:p>
    <w:p>
      <w:pPr>
        <w:pStyle w:val="Heading1"/>
        <w:keepNext/>
        <w:spacing w:before="360" w:after="160"/>
      </w:pPr>
      <w:r>
        <w:rPr>
          <w:rFonts w:ascii="Arial" w:hAnsi="Arial" w:cs="Arial" w:eastAsia="Arial"/>
          <w:b/>
          <w:bCs/>
          <w:color w:val="1F3864"/>
          <w:sz w:val="28"/>
          <w:szCs w:val="28"/>
        </w:rPr>
        <w:t>4. Diagramas</w:t>
      </w:r>
    </w:p>
    <w:p>
      <w:pPr>
        <w:keepNext/>
        <w:spacing w:before="160" w:after="0"/>
      </w:pPr>
      <w:r>
        <w:rPr>
          <w:rFonts w:ascii="Arial" w:hAnsi="Arial" w:cs="Arial" w:eastAsia="Arial"/>
          <w:b/>
          <w:bCs/>
          <w:sz w:val="21"/>
          <w:szCs w:val="21"/>
        </w:rPr>
        <w:t>Tabla 3</w:t>
      </w:r>
    </w:p>
    <w:p>
      <w:pPr>
        <w:keepNext/>
        <w:spacing w:before="0" w:after="80"/>
      </w:pPr>
      <w:r>
        <w:rPr>
          <w:rFonts w:ascii="Arial" w:hAnsi="Arial" w:cs="Arial" w:eastAsia="Arial"/>
          <w:i/>
          <w:iCs/>
          <w:sz w:val="21"/>
          <w:szCs w:val="21"/>
        </w:rPr>
        <w:t>Diagramas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855"/>
        <w:gridCol w:w="3135"/>
        <w:gridCol w:w="1900"/>
        <w:gridCol w:w="3610"/>
      </w:tblGrid>
      <w:tr>
        <w:trPr>
          <w:tblHeader/>
        </w:trPr>
        <w:tc>
          <w:tcPr>
            <w:tcW w:w="85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ID</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Título</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Vista / uso</w:t>
            </w:r>
          </w:p>
        </w:tc>
        <w:tc>
          <w:tcPr>
            <w:tcW w:w="36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Archivo</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capas y paquetes del sistema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(4+1)</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DIAG-01_Vista_logica_capas_y_paquetes_del_sistema.png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modelo de clases del dominio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(4+1)</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DIAG-02_Vista_logica_modelo_de_clases_del_dominio.png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reserva con abono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DIAG-03_Vista_de_procesos_secuencia_de_reserva_con_abono.png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atención por orden de llegada</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DIAG-04_Vista_de_procesos_secuencia_de_atencion_por_orden_de_llegada.png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cancelación, reprogramación y no-show</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DIAG-05_Vista_de_procesos_secuencia_de_cancelacion_reprogramacion_y_no_show.png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solicitud de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DIAG-06_Vista_de_procesos_secuencia_de_solicitud_de_derechos_del_titular.png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proceso de reserva con abono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DIAG-07_Diagrama_de_actividades_proceso_de_reserva_con_abono.png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atención presencial</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DIAG-08_Diagrama_de_actividades_atencion_presencial.png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cancelación y devolución</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DIAG-09_Diagrama_de_actividades_cancelacion_y_devolucion.png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flujo del invitado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DIAG-10_Diagrama_de_actividades_flujo_del_invitado.png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solicitud de eliminación de datos (supresión)</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DIAG-11_Diagrama_de_actividades_solicitud_de_eliminacion_de_datos_supresion.png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desarrollo: componentes y módulos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desarrollo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DIAG-12_Vista_de_desarrollo_componentes_y_modulos.png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 despliegue actual (3 sucursales)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DIAG-13_Vista_fisica_despliegue_actual_3_sucursales.png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 despliegue futuro escalado en cloud</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DIAG-14_Vista_fisica_despliegue_futuro_escalado_en_cloud.png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diagrama general de casos de uso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DIAG-15_Vista_de_escenarios_diagrama_general_de_casos_de_uso.png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cuenta y acceso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DIAG-16_Casos_de_uso_cuenta_y_acceso.png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privacidad y derechos del titular («Mis datos»)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DIAG-17_Casos_de_uso_privacidad_y_derechos_del_titular_Mis_datos.png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catálogo, agendamiento y pagos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DIAG-18_Casos_de_uso_catalogo_agendamiento_y_pagos.png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atención en sucursal y orden de llegada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DIAG-19_Casos_de_uso_atencion_en_sucursal_y_orden_de_llegada.png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administración del negocio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DIAG-20_Casos_de_uso_administracion_del_negocio.png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cumplimiento y auditoría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DIAG-21_Casos_de_uso_cumplimiento_y_auditoria.png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KPIs y reportes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DIAG-22_Casos_de_uso_KPIs_y_reportes.png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Reserva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DIAG-23_Diagrama_de_estados_Reserva.png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Pago (abono)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DIAG-24_Diagrama_de_estados_Pago_abono.png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Turno de orden de llegada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DIAG-25_Diagrama_de_estados_Turno_de_orden_de_llegada.png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Solicitud de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DIAG-26_Diagrama_de_estados_Solicitud_de_derechos_del_titular.png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Modelo Entidad-Relación conceptual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Base de datos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DIAG-27_Modelo_Entidad_Relacion_conceptual.png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Modelo relacional (lógico) de la base de datos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Base de datos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DIAG-28_Modelo_relacional_logico_de_la_base_de_datos.png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Gobierno de datos: ciclo de vida del dato personal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Gobierno de datos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DIAG-29_Gobierno_de_datos_ciclo_de_vida_del_dato_personal.png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Estructura de Desglose del Trabajo (EDT)</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Planificación (EDT / Gantt)</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DIAG-30_Estructura_de_Desglose_del_Trabajo_EDT.png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Carta Gantt del proyecto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Planificación (EDT / Gantt)</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DIAG-31_Carta_Gantt_del_proyecto.png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registro con consentimiento informado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DIAG-32_Pantalla_registro_con_consentimiento_informado.png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pop-up promocional para invitados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DIAG-33_Pantalla_pop_up_promocional_para_invitados.png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módulo «Mis datos»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DIAG-34_Pantalla_modulo_Mis_datos_derechos_del_titular.png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consulta de atenciones y ganancias del barbero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DIAG-35_Vista_de_procesos_secuencia_de_consulta_de_atenciones_y_ganancias_del_barbero.png / .svg / .puml</w:t>
            </w:r>
          </w:p>
        </w:tc>
      </w:tr>
    </w:tbl>
    <w:p>
      <w:pPr>
        <w:spacing w:before="0" w:after="60"/>
      </w:pPr>
    </w:p>
    <w:p>
      <w:pPr>
        <w:pStyle w:val="Heading1"/>
        <w:keepNext/>
        <w:spacing w:before="360" w:after="160"/>
      </w:pPr>
      <w:r>
        <w:rPr>
          <w:rFonts w:ascii="Arial" w:hAnsi="Arial" w:cs="Arial" w:eastAsia="Arial"/>
          <w:b/>
          <w:bCs/>
          <w:color w:val="1F3864"/>
          <w:sz w:val="28"/>
          <w:szCs w:val="28"/>
        </w:rPr>
        <w:t>5. Datos del negocio aplicados</w:t>
      </w:r>
    </w:p>
    <w:p>
      <w:pPr>
        <w:keepNext/>
        <w:spacing w:before="160" w:after="0"/>
      </w:pPr>
      <w:r>
        <w:rPr>
          <w:rFonts w:ascii="Arial" w:hAnsi="Arial" w:cs="Arial" w:eastAsia="Arial"/>
          <w:b/>
          <w:bCs/>
          <w:sz w:val="21"/>
          <w:szCs w:val="21"/>
        </w:rPr>
        <w:t>Tabla 4</w:t>
      </w:r>
    </w:p>
    <w:p>
      <w:pPr>
        <w:keepNext/>
        <w:spacing w:before="0" w:after="80"/>
      </w:pPr>
      <w:r>
        <w:rPr>
          <w:rFonts w:ascii="Arial" w:hAnsi="Arial" w:cs="Arial" w:eastAsia="Arial"/>
          <w:i/>
          <w:iCs/>
          <w:sz w:val="21"/>
          <w:szCs w:val="21"/>
        </w:rPr>
        <w:t>Datos del negocio aplicados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950"/>
        <w:gridCol w:w="3135"/>
        <w:gridCol w:w="3135"/>
        <w:gridCol w:w="1140"/>
        <w:gridCol w:w="1140"/>
      </w:tblGrid>
      <w:tr>
        <w:trPr>
          <w:tblHeader/>
        </w:trPr>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Código</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Sucursal</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Dirección</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Atendidos/día peak</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Se van/día peak</w:t>
            </w:r>
          </w:p>
        </w:tc>
      </w:tr>
      <w:tr>
        <w:trPr>
          <w:cantSplit/>
        </w:trPr>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21 de Mayo</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21 de Mayo 4566, Peñaflor</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w:t>
            </w:r>
          </w:p>
        </w:tc>
      </w:tr>
      <w:tr>
        <w:trPr>
          <w:cantSplit/>
        </w:trPr>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Alcalde Luis Araya Cereceda</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Alcalde Luis Araya Cereceda 4387, Peñaflor</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r>
      <w:tr>
        <w:trPr>
          <w:cantSplit/>
        </w:trPr>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Talagante</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Boulevard del Centro, local 3, Talagante</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r>
    </w:tbl>
    <w:p>
      <w:pPr>
        <w:spacing w:before="0" w:after="60"/>
      </w:pPr>
    </w:p>
    <w:p>
      <w:pPr>
        <w:spacing w:before="0" w:after="120" w:line="276" w:lineRule="auto"/>
        <w:jc w:val="both"/>
      </w:pPr>
      <w:r>
        <w:rPr>
          <w:rFonts w:ascii="Arial" w:hAnsi="Arial" w:cs="Arial" w:eastAsia="Arial"/>
          <w:sz w:val="22"/>
          <w:szCs w:val="22"/>
        </w:rPr>
        <w:t>Abono: $3.000 fijo (parametrizable). Período: 14-08-2026 al 13-11-2026; defensa probable 27-11-2026. Fases: F1 14-08 a 04-09; F2 07-09 a 18-10; F3 19-10 a 13-11. Presentación de avance del proyecto: viernes 23-10-2026 (S11).</w:t>
      </w:r>
    </w:p>
    <w:p>
      <w:pPr>
        <w:pStyle w:val="Heading1"/>
        <w:keepNext/>
        <w:spacing w:before="360" w:after="160"/>
      </w:pPr>
      <w:r>
        <w:rPr>
          <w:rFonts w:ascii="Arial" w:hAnsi="Arial" w:cs="Arial" w:eastAsia="Arial"/>
          <w:b/>
          <w:bCs/>
          <w:color w:val="1F3864"/>
          <w:sz w:val="28"/>
          <w:szCs w:val="28"/>
        </w:rPr>
        <w:t>6. Supuestos por validar</w:t>
      </w:r>
    </w:p>
    <w:p>
      <w:pPr>
        <w:keepNext/>
        <w:spacing w:before="160" w:after="0"/>
      </w:pPr>
      <w:r>
        <w:rPr>
          <w:rFonts w:ascii="Arial" w:hAnsi="Arial" w:cs="Arial" w:eastAsia="Arial"/>
          <w:b/>
          <w:bCs/>
          <w:sz w:val="21"/>
          <w:szCs w:val="21"/>
        </w:rPr>
        <w:t>Tabla 5</w:t>
      </w:r>
    </w:p>
    <w:p>
      <w:pPr>
        <w:keepNext/>
        <w:spacing w:before="0" w:after="80"/>
      </w:pPr>
      <w:r>
        <w:rPr>
          <w:rFonts w:ascii="Arial" w:hAnsi="Arial" w:cs="Arial" w:eastAsia="Arial"/>
          <w:i/>
          <w:iCs/>
          <w:sz w:val="21"/>
          <w:szCs w:val="21"/>
        </w:rPr>
        <w:t>Supuestos de cálculo (marcados para validación)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4750"/>
        <w:gridCol w:w="2850"/>
        <w:gridCol w:w="114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47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 usado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Interpretación de las cifras de demanda: «clientes/día» = clientes atendidos en día peak; «se van» se suma para obtener la demanda total.</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Demanda peak = 156 clientes/día (130 atendidos + 26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de operación por semana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 días (lunes a sábado)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S-03</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peak por semana</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 días (viernes y sábado)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S-04</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demanda de un día normal respecto del peak</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de los atendidos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S-05</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abandono de un día normal respecto del peak (menor congestión)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los que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S-06</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Semanas por mes / por año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4,33 / 52 (sin descontar feriados)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S-07</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Precio de referencia para valorizar clientes perdidos: Corte (no se sabe qué servicio habría tomado cada cliente)</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$11.900 (precio real del negocio)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 del negocio</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S-08</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Margen de contribución del local (tras comisión del barbero)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S-09</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Adopción de reserva online en régimen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las atenciones</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S-10</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No-show de una reserva sin abono (referencial) / con abono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 5%</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Mezcla de medios de pago del abono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débito/prepago, 40% crédito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Esfuerzo del equipo y valorización de la hora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312 h × $6.111/h</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Supuestos definidos por el equipo de proyecto; el valor hora se basa en el sueldo bruto de referencia de un desarrollador junior (Indeed, 2026).</w:t>
      </w:r>
    </w:p>
    <w:p>
      <w:pPr>
        <w:keepNext/>
        <w:spacing w:before="160" w:after="0"/>
      </w:pPr>
      <w:r>
        <w:rPr>
          <w:rFonts w:ascii="Arial" w:hAnsi="Arial" w:cs="Arial" w:eastAsia="Arial"/>
          <w:b/>
          <w:bCs/>
          <w:sz w:val="21"/>
          <w:szCs w:val="21"/>
        </w:rPr>
        <w:t>Tabla 6</w:t>
      </w:r>
    </w:p>
    <w:p>
      <w:pPr>
        <w:keepNext/>
        <w:spacing w:before="0" w:after="80"/>
      </w:pPr>
      <w:r>
        <w:rPr>
          <w:rFonts w:ascii="Arial" w:hAnsi="Arial" w:cs="Arial" w:eastAsia="Arial"/>
          <w:i/>
          <w:iCs/>
          <w:sz w:val="21"/>
          <w:szCs w:val="21"/>
        </w:rPr>
        <w:t>Supuestos por validar</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6840"/>
        <w:gridCol w:w="190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68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S-13</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Cancelación con ≥ 24 h deja saldo a favor; cancelación del local devuelve el 100%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S-20</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Lavado, Cejas y Mascarillas no se agendan en línea (precio cercano o menor al abono)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Confirmado (07-10-2026)</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S-21</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Duración de servicios: máximo 60 min (S. Completo) confirmado; resto estimado menor</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Máximo confirmado; resto 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S-14</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Tolerancia de 15 minutos antes de marcar no-show</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S-15</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minutos para pagar el abono antes de liberar el cupo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S-16</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Barberos por sucursal (4/2/2) y jornada de 9 h</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S-17</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Plazos de conservación de datos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Validar con asesoría legal/contable</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S-18</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120 h para adecuar el sistema después del lanzamiento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S-19</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Edad mínima de 14 años para usar el servicio sin representante</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Validar con asesoría legal</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Nombre del patrocinador, razón social, RUT de la empresa y correo de contacto de privacidad</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Datos faltantes</w:t>
            </w:r>
          </w:p>
        </w:tc>
      </w:tr>
    </w:tbl>
    <w:p>
      <w:pPr>
        <w:spacing w:before="0" w:after="60"/>
      </w:pPr>
    </w:p>
    <w:p>
      <w:pPr>
        <w:pStyle w:val="Heading1"/>
        <w:keepNext/>
        <w:spacing w:before="360" w:after="160"/>
      </w:pPr>
      <w:r>
        <w:rPr>
          <w:rFonts w:ascii="Arial" w:hAnsi="Arial" w:cs="Arial" w:eastAsia="Arial"/>
          <w:b/>
          <w:bCs/>
          <w:color w:val="1F3864"/>
          <w:sz w:val="28"/>
          <w:szCs w:val="28"/>
        </w:rPr>
        <w:t>7. Pendientes y recomendaciones</w:t>
      </w:r>
    </w:p>
    <w:p>
      <w:pPr>
        <w:numPr>
          <w:ilvl w:val="0"/>
          <w:numId w:val="1"/>
        </w:numPr>
        <w:spacing w:before="0" w:after="60" w:line="264" w:lineRule="auto"/>
        <w:ind w:left="540" w:hanging="270"/>
      </w:pPr>
      <w:r>
        <w:rPr>
          <w:rFonts w:ascii="Arial" w:hAnsi="Arial" w:cs="Arial" w:eastAsia="Arial"/>
          <w:sz w:val="22"/>
          <w:szCs w:val="22"/>
        </w:rPr>
        <w:t>Mantener los secretos fuera del código y del repositorio. Desde el 22-10-2026 la clave de aplicación de Gmail ya no está escrita en el código: la web la lee desde un archivo .env (npm run mail) y la app desde BuildConfig (Secrets Gradle Plugin), ambos excluidos de git. Antes de producción, el envío de correos debe quedar solo en el servidor, para que la clave no viaje dentro de la app compilada (R-03).</w:t>
      </w:r>
    </w:p>
    <w:p>
      <w:pPr>
        <w:numPr>
          <w:ilvl w:val="0"/>
          <w:numId w:val="1"/>
        </w:numPr>
        <w:spacing w:before="0" w:after="60" w:line="264" w:lineRule="auto"/>
        <w:ind w:left="540" w:hanging="270"/>
      </w:pPr>
      <w:r>
        <w:rPr>
          <w:rFonts w:ascii="Arial" w:hAnsi="Arial" w:cs="Arial" w:eastAsia="Arial"/>
          <w:sz w:val="22"/>
          <w:szCs w:val="22"/>
        </w:rPr>
        <w:t>Validar los supuestos con el/la dueño/a y actualizar las cifras en el libro Excel (las fórmulas recalculan).</w:t>
      </w:r>
    </w:p>
    <w:p>
      <w:pPr>
        <w:numPr>
          <w:ilvl w:val="0"/>
          <w:numId w:val="1"/>
        </w:numPr>
        <w:spacing w:before="0" w:after="60" w:line="264" w:lineRule="auto"/>
        <w:ind w:left="540" w:hanging="270"/>
      </w:pPr>
      <w:r>
        <w:rPr>
          <w:rFonts w:ascii="Arial" w:hAnsi="Arial" w:cs="Arial" w:eastAsia="Arial"/>
          <w:sz w:val="22"/>
          <w:szCs w:val="22"/>
        </w:rPr>
        <w:t>Completar los campos [POR COMPLETAR] de la Política de Privacidad antes de publicarla.</w:t>
      </w:r>
    </w:p>
    <w:p>
      <w:pPr>
        <w:numPr>
          <w:ilvl w:val="0"/>
          <w:numId w:val="1"/>
        </w:numPr>
        <w:spacing w:before="0" w:after="60" w:line="264" w:lineRule="auto"/>
        <w:ind w:left="540" w:hanging="270"/>
      </w:pPr>
      <w:r>
        <w:rPr>
          <w:rFonts w:ascii="Arial" w:hAnsi="Arial" w:cs="Arial" w:eastAsia="Arial"/>
          <w:sz w:val="22"/>
          <w:szCs w:val="22"/>
        </w:rPr>
        <w:t>Aprobación formal del CCB de las solicitudes SC-02, SC-03, SC-05, SC-06, SC-19, SC-20 y SC-21.</w:t>
      </w:r>
    </w:p>
    <w:p>
      <w:pPr>
        <w:numPr>
          <w:ilvl w:val="0"/>
          <w:numId w:val="1"/>
        </w:numPr>
        <w:spacing w:before="0" w:after="60" w:line="264" w:lineRule="auto"/>
        <w:ind w:left="540" w:hanging="270"/>
      </w:pPr>
      <w:r>
        <w:rPr>
          <w:rFonts w:ascii="Arial" w:hAnsi="Arial" w:cs="Arial" w:eastAsia="Arial"/>
          <w:sz w:val="22"/>
          <w:szCs w:val="22"/>
        </w:rPr>
        <w:t>Subir estos documentos a la carpeta de Drive del proyecto (el repositorio de GitHub ya los contiene).</w:t>
      </w:r>
    </w:p>
    <w:p>
      <w:pPr>
        <w:numPr>
          <w:ilvl w:val="0"/>
          <w:numId w:val="1"/>
        </w:numPr>
        <w:spacing w:before="0" w:after="60" w:line="264" w:lineRule="auto"/>
        <w:ind w:left="540" w:hanging="270"/>
      </w:pPr>
      <w:r>
        <w:rPr>
          <w:rFonts w:ascii="Arial" w:hAnsi="Arial" w:cs="Arial" w:eastAsia="Arial"/>
          <w:sz w:val="22"/>
          <w:szCs w:val="22"/>
        </w:rPr>
        <w:t>Completar la actividad crítica 1.4.3: cuentas propias para el personal (barberos y cajeros), módulo «Mis datos» y pago del abono con la pasarela. Desde el 22-10-2026 la web y la app ya usan el modelo relacional.</w:t>
      </w:r>
    </w:p>
    <w:p>
      <w:pPr>
        <w:pStyle w:val="Heading1"/>
        <w:keepNext/>
        <w:spacing w:before="360" w:after="160"/>
      </w:pPr>
      <w:r>
        <w:rPr>
          <w:rFonts w:ascii="Arial" w:hAnsi="Arial" w:cs="Arial" w:eastAsia="Arial"/>
          <w:b/>
          <w:bCs/>
          <w:color w:val="1F3864"/>
          <w:sz w:val="28"/>
          <w:szCs w:val="28"/>
        </w:rPr>
        <w:t>8. Actualización de coherencia del 22-10-2026</w:t>
      </w:r>
    </w:p>
    <w:p>
      <w:pPr>
        <w:numPr>
          <w:ilvl w:val="0"/>
          <w:numId w:val="1"/>
        </w:numPr>
        <w:spacing w:before="0" w:after="60" w:line="264" w:lineRule="auto"/>
        <w:ind w:left="540" w:hanging="270"/>
      </w:pPr>
      <w:r>
        <w:rPr>
          <w:rFonts w:ascii="Arial" w:hAnsi="Arial" w:cs="Arial" w:eastAsia="Arial"/>
          <w:sz w:val="22"/>
          <w:szCs w:val="22"/>
        </w:rPr>
        <w:t>Base de datos: implementada el 20-10-2026 en Supabase (PostgreSQL 17, región us-west-2, Oregón, EE. UU.) con las 26 tablas iniciales y 22/22 pruebas; la transferencia internacional quedó declarada (SC-18). Se reemplazaron las menciones a «PostgreSQL en un VPS en Santiago» en los documentos 08, 10 y 11, el DAS, el Acta de Constitución y el diagrama DIAG-13; el 22-10-2026 se decidió publicar la API en Supabase (SC-20).</w:t>
      </w:r>
    </w:p>
    <w:p>
      <w:pPr>
        <w:numPr>
          <w:ilvl w:val="0"/>
          <w:numId w:val="1"/>
        </w:numPr>
        <w:spacing w:before="0" w:after="60" w:line="264" w:lineRule="auto"/>
        <w:ind w:left="540" w:hanging="270"/>
      </w:pPr>
      <w:r>
        <w:rPr>
          <w:rFonts w:ascii="Arial" w:hAnsi="Arial" w:cs="Arial" w:eastAsia="Arial"/>
          <w:sz w:val="22"/>
          <w:szCs w:val="22"/>
        </w:rPr>
        <w:t>Estado del código al 22-10-2026: la web y la app usan el modelo relacional a través de 13 funciones api_* que Supabase publica como API REST (SC-20). Las tablas siguen cerradas a la clave pública (RLS) y las 7 tablas del prototipo (users, appointments, locations, barbers, coupons, reviews y mail) se eliminaron. Se probaron la API (17/17), la web de punta a punta y la compilación de la app.</w:t>
      </w:r>
    </w:p>
    <w:p>
      <w:pPr>
        <w:numPr>
          <w:ilvl w:val="0"/>
          <w:numId w:val="1"/>
        </w:numPr>
        <w:spacing w:before="0" w:after="60" w:line="264" w:lineRule="auto"/>
        <w:ind w:left="540" w:hanging="270"/>
      </w:pPr>
      <w:r>
        <w:rPr>
          <w:rFonts w:ascii="Arial" w:hAnsi="Arial" w:cs="Arial" w:eastAsia="Arial"/>
          <w:sz w:val="22"/>
          <w:szCs w:val="22"/>
        </w:rPr>
        <w:t>Secretos: la clave de aplicación de Gmail se retiró del código fuente (mail_server.js, index.html, store.js y DirectGmailSender.kt) y ahora se lee desde archivos .env locales excluidos del repositorio. Con esto, el código de la web y la app se subió a GitHub sin secretos el 22-10-2026 (R-03).</w:t>
      </w:r>
    </w:p>
    <w:p>
      <w:pPr>
        <w:numPr>
          <w:ilvl w:val="0"/>
          <w:numId w:val="1"/>
        </w:numPr>
        <w:spacing w:before="0" w:after="60" w:line="264" w:lineRule="auto"/>
        <w:ind w:left="540" w:hanging="270"/>
      </w:pPr>
      <w:r>
        <w:rPr>
          <w:rFonts w:ascii="Arial" w:hAnsi="Arial" w:cs="Arial" w:eastAsia="Arial"/>
          <w:sz w:val="22"/>
          <w:szCs w:val="22"/>
        </w:rPr>
        <w:t>Cifras unificadas en todos los documentos: 63 RF (58 de la V1 y 5 del roadmap V2), 11 RNF, 41 casos de uso, 35 diagramas, 27 tablas, 24 paquetes de la EDT, 17 riesgos, 21 solicitudes de cambio y 24 pruebas de base de datos.</w:t>
      </w:r>
    </w:p>
    <w:p>
      <w:pPr>
        <w:numPr>
          <w:ilvl w:val="0"/>
          <w:numId w:val="1"/>
        </w:numPr>
        <w:spacing w:before="0" w:after="60" w:line="264" w:lineRule="auto"/>
        <w:ind w:left="540" w:hanging="270"/>
      </w:pPr>
      <w:r>
        <w:rPr>
          <w:rFonts w:ascii="Arial" w:hAnsi="Arial" w:cs="Arial" w:eastAsia="Arial"/>
          <w:sz w:val="22"/>
          <w:szCs w:val="22"/>
        </w:rPr>
        <w:t>Semana actual S11 (19-10 al 25-10-2026) en el Plan de Dirección, el Alcance, el Cronograma, la Carta Gantt (DIAG-31), el Informe de Avance y el ERS.</w:t>
      </w:r>
    </w:p>
    <w:p>
      <w:pPr>
        <w:numPr>
          <w:ilvl w:val="0"/>
          <w:numId w:val="1"/>
        </w:numPr>
        <w:spacing w:before="0" w:after="60" w:line="264" w:lineRule="auto"/>
        <w:ind w:left="540" w:hanging="270"/>
      </w:pPr>
      <w:r>
        <w:rPr>
          <w:rFonts w:ascii="Arial" w:hAnsi="Arial" w:cs="Arial" w:eastAsia="Arial"/>
          <w:sz w:val="22"/>
          <w:szCs w:val="22"/>
        </w:rPr>
        <w:t>Control de cambios: el registro quedó en orden numérico (SC-11 en su lugar) y se agregaron SC-19 (fase de despliegue), SC-20 (API publicada en Supabase) y SC-21 (modelo de datos v1.2).</w:t>
      </w:r>
    </w:p>
    <w:p>
      <w:pPr>
        <w:numPr>
          <w:ilvl w:val="0"/>
          <w:numId w:val="1"/>
        </w:numPr>
        <w:spacing w:before="0" w:after="60" w:line="264" w:lineRule="auto"/>
        <w:ind w:left="540" w:hanging="270"/>
      </w:pPr>
      <w:r>
        <w:rPr>
          <w:rFonts w:ascii="Arial" w:hAnsi="Arial" w:cs="Arial" w:eastAsia="Arial"/>
          <w:sz w:val="22"/>
          <w:szCs w:val="22"/>
        </w:rPr>
        <w:t>Respaldos: el plan gratuito de Supabase no incluye respaldos y el plan Pro los conserva 7 días (Supabase, 2026). Para cumplir RNF-09 (30 días) se agrega un respaldo lógico diario propio (riesgo R-08).</w:t>
      </w:r>
    </w:p>
    <w:p>
      <w:pPr>
        <w:numPr>
          <w:ilvl w:val="0"/>
          <w:numId w:val="1"/>
        </w:numPr>
        <w:spacing w:before="0" w:after="60" w:line="264" w:lineRule="auto"/>
        <w:ind w:left="540" w:hanging="270"/>
      </w:pPr>
      <w:r>
        <w:rPr>
          <w:rFonts w:ascii="Arial" w:hAnsi="Arial" w:cs="Arial" w:eastAsia="Arial"/>
          <w:sz w:val="22"/>
          <w:szCs w:val="22"/>
        </w:rPr>
        <w:t>Riesgo R-14 (acceso público a las tablas del prototipo): cerrado el 22-10-2026, al eliminar esas tablas.</w:t>
      </w:r>
    </w:p>
    <w:p>
      <w:pPr>
        <w:numPr>
          <w:ilvl w:val="0"/>
          <w:numId w:val="1"/>
        </w:numPr>
        <w:spacing w:before="0" w:after="60" w:line="264" w:lineRule="auto"/>
        <w:ind w:left="540" w:hanging="270"/>
      </w:pPr>
      <w:r>
        <w:rPr>
          <w:rFonts w:ascii="Arial" w:hAnsi="Arial" w:cs="Arial" w:eastAsia="Arial"/>
          <w:sz w:val="22"/>
          <w:szCs w:val="22"/>
        </w:rPr>
        <w:t>Modelo de datos v1.2 (SC-21): nueva tabla resena (calificación de barberos, RF-09), coordenadas de las sucursales y 4 barberos de prueba hasta recibir la nómina real; 27 tablas y 239 campos. El script se validó con 24/24 pruebas en PGlite (22-10-2026). Se actualizaron el documento 16, DIAG-27, DIAG-28 y DIAG-13.</w:t>
      </w:r>
    </w:p>
    <w:p>
      <w:pPr>
        <w:numPr>
          <w:ilvl w:val="0"/>
          <w:numId w:val="1"/>
        </w:numPr>
        <w:spacing w:before="0" w:after="60" w:line="264" w:lineRule="auto"/>
        <w:ind w:left="540" w:hanging="270"/>
      </w:pPr>
      <w:r>
        <w:rPr>
          <w:rFonts w:ascii="Arial" w:hAnsi="Arial" w:cs="Arial" w:eastAsia="Arial"/>
          <w:sz w:val="22"/>
          <w:szCs w:val="22"/>
        </w:rPr>
        <w:t>Versiones: DAS 3.1, ERS revisión 04.1 y Acta de Constitución 2.1; los planes modificados pasan a la versión 1.1.</w:t>
      </w:r>
    </w:p>
    <w:p>
      <w:pPr>
        <w:pStyle w:val="Heading1"/>
        <w:keepNext/>
        <w:pageBreakBefore/>
        <w:spacing w:before="360" w:after="160"/>
      </w:pPr>
      <w:r>
        <w:rPr>
          <w:rFonts w:ascii="Arial" w:hAnsi="Arial" w:cs="Arial" w:eastAsia="Arial"/>
          <w:b/>
          <w:bCs/>
          <w:color w:val="1F3864"/>
          <w:sz w:val="28"/>
          <w:szCs w:val="28"/>
        </w:rPr>
        <w:t>Referencias</w:t>
      </w:r>
    </w:p>
    <w:p>
      <w:pPr>
        <w:spacing w:before="0" w:after="120" w:line="360" w:lineRule="auto"/>
        <w:ind w:left="720" w:hanging="720"/>
      </w:pPr>
      <w:r>
        <w:rPr>
          <w:rFonts w:ascii="Arial" w:hAnsi="Arial" w:cs="Arial" w:eastAsia="Arial"/>
          <w:sz w:val="22"/>
          <w:szCs w:val="22"/>
        </w:rPr>
        <w:t xml:space="preserve">Amazon Web Services [AWS]. (2026). </w:t>
      </w:r>
      <w:r>
        <w:rPr>
          <w:rFonts w:ascii="Arial" w:hAnsi="Arial" w:cs="Arial" w:eastAsia="Arial"/>
          <w:i/>
          <w:iCs/>
          <w:sz w:val="22"/>
          <w:szCs w:val="22"/>
        </w:rPr>
        <w:t>AWS Price List: Amazon EC2, Amazon RDS for PostgreSQL y Amazon S3, región South America (São Paulo)</w:t>
      </w:r>
      <w:r>
        <w:rPr>
          <w:rFonts w:ascii="Arial" w:hAnsi="Arial" w:cs="Arial" w:eastAsia="Arial"/>
          <w:sz w:val="22"/>
          <w:szCs w:val="22"/>
        </w:rPr>
        <w:t xml:space="preserve"> [Conjunto de datos]. Recuperado el 6 de octubre de 2026, de https://b0.p.awsstatic.com/pricing/2.0/meteredUnitMaps/</w:t>
      </w:r>
    </w:p>
    <w:p>
      <w:pPr>
        <w:spacing w:before="0" w:after="120" w:line="360" w:lineRule="auto"/>
        <w:ind w:left="720" w:hanging="720"/>
      </w:pPr>
      <w:r>
        <w:rPr>
          <w:rFonts w:ascii="Arial" w:hAnsi="Arial" w:cs="Arial" w:eastAsia="Arial"/>
          <w:sz w:val="22"/>
          <w:szCs w:val="22"/>
        </w:rPr>
        <w:t xml:space="preserve">Amazon. (2025, 7 de mayo). </w:t>
      </w:r>
      <w:r>
        <w:rPr>
          <w:rFonts w:ascii="Arial" w:hAnsi="Arial" w:cs="Arial" w:eastAsia="Arial"/>
          <w:i/>
          <w:iCs/>
          <w:sz w:val="22"/>
          <w:szCs w:val="22"/>
        </w:rPr>
        <w:t>Amazon to invest more than $4 billion to launch infrastructure region in Chile</w:t>
      </w:r>
      <w:r>
        <w:rPr>
          <w:rFonts w:ascii="Arial" w:hAnsi="Arial" w:cs="Arial" w:eastAsia="Arial"/>
          <w:sz w:val="22"/>
          <w:szCs w:val="22"/>
        </w:rPr>
        <w:t xml:space="preserve"> [Comunicado de prensa]. Business Wire. https://www.businesswire.com/news/home/20250507585471/en/</w:t>
      </w:r>
    </w:p>
    <w:p>
      <w:pPr>
        <w:spacing w:before="0" w:after="120" w:line="360" w:lineRule="auto"/>
        <w:ind w:left="720" w:hanging="720"/>
      </w:pPr>
      <w:r>
        <w:rPr>
          <w:rFonts w:ascii="Arial" w:hAnsi="Arial" w:cs="Arial" w:eastAsia="Arial"/>
          <w:sz w:val="22"/>
          <w:szCs w:val="22"/>
        </w:rPr>
        <w:t xml:space="preserve">Bytebase. (2026). </w:t>
      </w:r>
      <w:r>
        <w:rPr>
          <w:rFonts w:ascii="Arial" w:hAnsi="Arial" w:cs="Arial" w:eastAsia="Arial"/>
          <w:i/>
          <w:iCs/>
          <w:sz w:val="22"/>
          <w:szCs w:val="22"/>
        </w:rPr>
        <w:t>Google Cloud SQL pricing: every machine type, Enterprise &amp; Enterprise Plus</w:t>
      </w:r>
      <w:r>
        <w:rPr>
          <w:rFonts w:ascii="Arial" w:hAnsi="Arial" w:cs="Arial" w:eastAsia="Arial"/>
          <w:sz w:val="22"/>
          <w:szCs w:val="22"/>
        </w:rPr>
        <w:t>. Recuperado el 6 de octubre de 2026, de https://www.bytebase.com/dbcost/cloudsql-pricing/</w:t>
      </w:r>
    </w:p>
    <w:p>
      <w:pPr>
        <w:spacing w:before="0" w:after="120" w:line="360" w:lineRule="auto"/>
        <w:ind w:left="720" w:hanging="720"/>
      </w:pPr>
      <w:r>
        <w:rPr>
          <w:rFonts w:ascii="Arial" w:hAnsi="Arial" w:cs="Arial" w:eastAsia="Arial"/>
          <w:sz w:val="22"/>
          <w:szCs w:val="22"/>
        </w:rPr>
        <w:t xml:space="preserve">Carey Abogados. (2026). </w:t>
      </w:r>
      <w:r>
        <w:rPr>
          <w:rFonts w:ascii="Arial" w:hAnsi="Arial" w:cs="Arial" w:eastAsia="Arial"/>
          <w:i/>
          <w:iCs/>
          <w:sz w:val="22"/>
          <w:szCs w:val="22"/>
        </w:rPr>
        <w:t>Gobierno ingresa proyecto de ley que posterga en un año entrada en vigor de la Ley 21.719 sobre Protección de Datos Personales y fortalece la institucionalidad de la Agencia de Protección de Datos Personales</w:t>
      </w:r>
      <w:r>
        <w:rPr>
          <w:rFonts w:ascii="Arial" w:hAnsi="Arial" w:cs="Arial" w:eastAsia="Arial"/>
          <w:sz w:val="22"/>
          <w:szCs w:val="22"/>
        </w:rPr>
        <w:t>. https://www.carey.cl/gobierno-ingresa-proyecto-de-ley-que-posterga-en-un-ano-entrada-en-vigor-de-la-ley-sobre-proteccion-de-datos-personales</w:t>
      </w:r>
    </w:p>
    <w:p>
      <w:pPr>
        <w:spacing w:before="0" w:after="120" w:line="360" w:lineRule="auto"/>
        <w:ind w:left="720" w:hanging="720"/>
      </w:pPr>
      <w:r>
        <w:rPr>
          <w:rFonts w:ascii="Arial" w:hAnsi="Arial" w:cs="Arial" w:eastAsia="Arial"/>
          <w:sz w:val="22"/>
          <w:szCs w:val="22"/>
        </w:rPr>
        <w:t xml:space="preserve">DAMA International. (2017). </w:t>
      </w:r>
      <w:r>
        <w:rPr>
          <w:rFonts w:ascii="Arial" w:hAnsi="Arial" w:cs="Arial" w:eastAsia="Arial"/>
          <w:i/>
          <w:iCs/>
          <w:sz w:val="22"/>
          <w:szCs w:val="22"/>
        </w:rPr>
        <w:t>DAMA-DMBOK: Data management body of knowledge</w:t>
      </w:r>
      <w:r>
        <w:rPr>
          <w:rFonts w:ascii="Arial" w:hAnsi="Arial" w:cs="Arial" w:eastAsia="Arial"/>
          <w:sz w:val="22"/>
          <w:szCs w:val="22"/>
        </w:rPr>
        <w:t xml:space="preserve"> (2.ª ed.). Technics Publications.</w:t>
      </w:r>
    </w:p>
    <w:p>
      <w:pPr>
        <w:spacing w:before="0" w:after="120" w:line="360" w:lineRule="auto"/>
        <w:ind w:left="720" w:hanging="720"/>
      </w:pPr>
      <w:r>
        <w:rPr>
          <w:rFonts w:ascii="Arial" w:hAnsi="Arial" w:cs="Arial" w:eastAsia="Arial"/>
          <w:sz w:val="22"/>
          <w:szCs w:val="22"/>
        </w:rPr>
        <w:t xml:space="preserve">Digitalízame. (2026). </w:t>
      </w:r>
      <w:r>
        <w:rPr>
          <w:rFonts w:ascii="Arial" w:hAnsi="Arial" w:cs="Arial" w:eastAsia="Arial"/>
          <w:i/>
          <w:iCs/>
          <w:sz w:val="22"/>
          <w:szCs w:val="22"/>
        </w:rPr>
        <w:t>Comisiones de Transbank, Mercado Pago y Flow en Chile (2026)</w:t>
      </w:r>
      <w:r>
        <w:rPr>
          <w:rFonts w:ascii="Arial" w:hAnsi="Arial" w:cs="Arial" w:eastAsia="Arial"/>
          <w:sz w:val="22"/>
          <w:szCs w:val="22"/>
        </w:rPr>
        <w:t>. https://digitalizame.cl/comisiones-pasarelas-de-pago-chile/</w:t>
      </w:r>
    </w:p>
    <w:p>
      <w:pPr>
        <w:spacing w:before="0" w:after="120" w:line="360" w:lineRule="auto"/>
        <w:ind w:left="720" w:hanging="720"/>
      </w:pPr>
      <w:r>
        <w:rPr>
          <w:rFonts w:ascii="Arial" w:hAnsi="Arial" w:cs="Arial" w:eastAsia="Arial"/>
          <w:sz w:val="22"/>
          <w:szCs w:val="22"/>
        </w:rPr>
        <w:t xml:space="preserve">gcloud-compute.com. (2026). </w:t>
      </w:r>
      <w:r>
        <w:rPr>
          <w:rFonts w:ascii="Arial" w:hAnsi="Arial" w:cs="Arial" w:eastAsia="Arial"/>
          <w:i/>
          <w:iCs/>
          <w:sz w:val="22"/>
          <w:szCs w:val="22"/>
        </w:rPr>
        <w:t>e2-small: Google Compute Engine machine type pricing</w:t>
      </w:r>
      <w:r>
        <w:rPr>
          <w:rFonts w:ascii="Arial" w:hAnsi="Arial" w:cs="Arial" w:eastAsia="Arial"/>
          <w:sz w:val="22"/>
          <w:szCs w:val="22"/>
        </w:rPr>
        <w:t>. Recuperado el 6 de octubre de 2026, de https://gcloud-compute.com/e2-small.html</w:t>
      </w:r>
    </w:p>
    <w:p>
      <w:pPr>
        <w:spacing w:before="0" w:after="120" w:line="360" w:lineRule="auto"/>
        <w:ind w:left="720" w:hanging="720"/>
      </w:pPr>
      <w:r>
        <w:rPr>
          <w:rFonts w:ascii="Arial" w:hAnsi="Arial" w:cs="Arial" w:eastAsia="Arial"/>
          <w:sz w:val="22"/>
          <w:szCs w:val="22"/>
        </w:rPr>
        <w:t xml:space="preserve">Google Cloud. (2026). </w:t>
      </w:r>
      <w:r>
        <w:rPr>
          <w:rFonts w:ascii="Arial" w:hAnsi="Arial" w:cs="Arial" w:eastAsia="Arial"/>
          <w:i/>
          <w:iCs/>
          <w:sz w:val="22"/>
          <w:szCs w:val="22"/>
        </w:rPr>
        <w:t>Standard Support</w:t>
      </w:r>
      <w:r>
        <w:rPr>
          <w:rFonts w:ascii="Arial" w:hAnsi="Arial" w:cs="Arial" w:eastAsia="Arial"/>
          <w:sz w:val="22"/>
          <w:szCs w:val="22"/>
        </w:rPr>
        <w:t>. Recuperado el 6 de octubre de 2026, de https://cloud.google.com/support/standard</w:t>
      </w:r>
    </w:p>
    <w:p>
      <w:pPr>
        <w:spacing w:before="0" w:after="120" w:line="360" w:lineRule="auto"/>
        <w:ind w:left="720" w:hanging="720"/>
      </w:pPr>
      <w:r>
        <w:rPr>
          <w:rFonts w:ascii="Arial" w:hAnsi="Arial" w:cs="Arial" w:eastAsia="Arial"/>
          <w:sz w:val="22"/>
          <w:szCs w:val="22"/>
        </w:rPr>
        <w:t xml:space="preserve">IEEE. (1998). </w:t>
      </w:r>
      <w:r>
        <w:rPr>
          <w:rFonts w:ascii="Arial" w:hAnsi="Arial" w:cs="Arial" w:eastAsia="Arial"/>
          <w:i/>
          <w:iCs/>
          <w:sz w:val="22"/>
          <w:szCs w:val="22"/>
        </w:rPr>
        <w:t>IEEE recommended practice for software requirements specifications</w:t>
      </w:r>
      <w:r>
        <w:rPr>
          <w:rFonts w:ascii="Arial" w:hAnsi="Arial" w:cs="Arial" w:eastAsia="Arial"/>
          <w:sz w:val="22"/>
          <w:szCs w:val="22"/>
        </w:rPr>
        <w:t xml:space="preserve"> (IEEE Std 830-1998). https://doi.org/10.1109/IEEESTD.1998.88286</w:t>
      </w:r>
    </w:p>
    <w:p>
      <w:pPr>
        <w:spacing w:before="0" w:after="120" w:line="360" w:lineRule="auto"/>
        <w:ind w:left="720" w:hanging="720"/>
      </w:pPr>
      <w:r>
        <w:rPr>
          <w:rFonts w:ascii="Arial" w:hAnsi="Arial" w:cs="Arial" w:eastAsia="Arial"/>
          <w:sz w:val="22"/>
          <w:szCs w:val="22"/>
        </w:rPr>
        <w:t xml:space="preserve">Indeed. (2026). </w:t>
      </w:r>
      <w:r>
        <w:rPr>
          <w:rFonts w:ascii="Arial" w:hAnsi="Arial" w:cs="Arial" w:eastAsia="Arial"/>
          <w:i/>
          <w:iCs/>
          <w:sz w:val="22"/>
          <w:szCs w:val="22"/>
        </w:rPr>
        <w:t>Sueldo de desarrollador/a junior en Chile</w:t>
      </w:r>
      <w:r>
        <w:rPr>
          <w:rFonts w:ascii="Arial" w:hAnsi="Arial" w:cs="Arial" w:eastAsia="Arial"/>
          <w:sz w:val="22"/>
          <w:szCs w:val="22"/>
        </w:rPr>
        <w:t>. Recuperado el 6 de octubre de 2026, de https://cl.indeed.com/career/desarrollador-junior/salaries</w:t>
      </w:r>
    </w:p>
    <w:p>
      <w:pPr>
        <w:spacing w:before="0" w:after="120" w:line="360" w:lineRule="auto"/>
        <w:ind w:left="720" w:hanging="720"/>
      </w:pPr>
      <w:r>
        <w:rPr>
          <w:rFonts w:ascii="Arial" w:hAnsi="Arial" w:cs="Arial" w:eastAsia="Arial"/>
          <w:sz w:val="22"/>
          <w:szCs w:val="22"/>
        </w:rPr>
        <w:t xml:space="preserve">International Organization for Standardization &amp; International Electrotechnical Commission [ISO/IEC]. (2011). </w:t>
      </w:r>
      <w:r>
        <w:rPr>
          <w:rFonts w:ascii="Arial" w:hAnsi="Arial" w:cs="Arial" w:eastAsia="Arial"/>
          <w:i/>
          <w:iCs/>
          <w:sz w:val="22"/>
          <w:szCs w:val="22"/>
        </w:rPr>
        <w:t>Systems and software engineering — Systems and software Quality Requirements and Evaluation (SQuaRE) — System and software quality models</w:t>
      </w:r>
      <w:r>
        <w:rPr>
          <w:rFonts w:ascii="Arial" w:hAnsi="Arial" w:cs="Arial" w:eastAsia="Arial"/>
          <w:sz w:val="22"/>
          <w:szCs w:val="22"/>
        </w:rPr>
        <w:t xml:space="preserve"> (ISO/IEC 25010:2011).</w:t>
      </w:r>
    </w:p>
    <w:p>
      <w:pPr>
        <w:spacing w:before="0" w:after="120" w:line="360" w:lineRule="auto"/>
        <w:ind w:left="720" w:hanging="720"/>
      </w:pPr>
      <w:r>
        <w:rPr>
          <w:rFonts w:ascii="Arial" w:hAnsi="Arial" w:cs="Arial" w:eastAsia="Arial"/>
          <w:sz w:val="22"/>
          <w:szCs w:val="22"/>
        </w:rPr>
        <w:t xml:space="preserve">Kruchten, P. B. (1995). The 4+1 view model of architecture. </w:t>
      </w:r>
      <w:r>
        <w:rPr>
          <w:rFonts w:ascii="Arial" w:hAnsi="Arial" w:cs="Arial" w:eastAsia="Arial"/>
          <w:i/>
          <w:iCs/>
          <w:sz w:val="22"/>
          <w:szCs w:val="22"/>
        </w:rPr>
        <w:t>IEEE Software, 12</w:t>
      </w:r>
      <w:r>
        <w:rPr>
          <w:rFonts w:ascii="Arial" w:hAnsi="Arial" w:cs="Arial" w:eastAsia="Arial"/>
          <w:sz w:val="22"/>
          <w:szCs w:val="22"/>
        </w:rPr>
        <w:t>(6), 42–50. https://doi.org/10.1109/52.469759</w:t>
      </w:r>
    </w:p>
    <w:p>
      <w:pPr>
        <w:spacing w:before="0" w:after="120" w:line="360" w:lineRule="auto"/>
        <w:ind w:left="720" w:hanging="720"/>
      </w:pPr>
      <w:r>
        <w:rPr>
          <w:rFonts w:ascii="Arial" w:hAnsi="Arial" w:cs="Arial" w:eastAsia="Arial"/>
          <w:sz w:val="22"/>
          <w:szCs w:val="22"/>
        </w:rPr>
        <w:t xml:space="preserve">Ley N° 19.496. (1997, 7 de marzo). </w:t>
      </w:r>
      <w:r>
        <w:rPr>
          <w:rFonts w:ascii="Arial" w:hAnsi="Arial" w:cs="Arial" w:eastAsia="Arial"/>
          <w:i/>
          <w:iCs/>
          <w:sz w:val="22"/>
          <w:szCs w:val="22"/>
        </w:rPr>
        <w:t>Establece normas sobre protección de los derechos de los consumidores</w:t>
      </w:r>
      <w:r>
        <w:rPr>
          <w:rFonts w:ascii="Arial" w:hAnsi="Arial" w:cs="Arial" w:eastAsia="Arial"/>
          <w:sz w:val="22"/>
          <w:szCs w:val="22"/>
        </w:rPr>
        <w:t>. Diario Oficial de la República de Chile. https://www.bcn.cl/leychile/navegar?idNorma=61438</w:t>
      </w:r>
    </w:p>
    <w:p>
      <w:pPr>
        <w:spacing w:before="0" w:after="120" w:line="360" w:lineRule="auto"/>
        <w:ind w:left="720" w:hanging="720"/>
      </w:pPr>
      <w:r>
        <w:rPr>
          <w:rFonts w:ascii="Arial" w:hAnsi="Arial" w:cs="Arial" w:eastAsia="Arial"/>
          <w:sz w:val="22"/>
          <w:szCs w:val="22"/>
        </w:rPr>
        <w:t xml:space="preserve">Ley N° 19.628. (1999, 28 de agosto). </w:t>
      </w:r>
      <w:r>
        <w:rPr>
          <w:rFonts w:ascii="Arial" w:hAnsi="Arial" w:cs="Arial" w:eastAsia="Arial"/>
          <w:i/>
          <w:iCs/>
          <w:sz w:val="22"/>
          <w:szCs w:val="22"/>
        </w:rPr>
        <w:t>Sobre protección de la vida privada</w:t>
      </w:r>
      <w:r>
        <w:rPr>
          <w:rFonts w:ascii="Arial" w:hAnsi="Arial" w:cs="Arial" w:eastAsia="Arial"/>
          <w:sz w:val="22"/>
          <w:szCs w:val="22"/>
        </w:rPr>
        <w:t>. Diario Oficial de la República de Chile. https://www.bcn.cl/leychile/navegar?idNorma=141599</w:t>
      </w:r>
    </w:p>
    <w:p>
      <w:pPr>
        <w:spacing w:before="0" w:after="120" w:line="360" w:lineRule="auto"/>
        <w:ind w:left="720" w:hanging="720"/>
      </w:pPr>
      <w:r>
        <w:rPr>
          <w:rFonts w:ascii="Arial" w:hAnsi="Arial" w:cs="Arial" w:eastAsia="Arial"/>
          <w:sz w:val="22"/>
          <w:szCs w:val="22"/>
        </w:rPr>
        <w:t xml:space="preserve">Ley N° 21.719. (2024, 13 de diciembre). </w:t>
      </w:r>
      <w:r>
        <w:rPr>
          <w:rFonts w:ascii="Arial" w:hAnsi="Arial" w:cs="Arial" w:eastAsia="Arial"/>
          <w:i/>
          <w:iCs/>
          <w:sz w:val="22"/>
          <w:szCs w:val="22"/>
        </w:rPr>
        <w:t>Regula la protección y el tratamiento de los datos personales y crea la Agencia de Protección de Datos Personales</w:t>
      </w:r>
      <w:r>
        <w:rPr>
          <w:rFonts w:ascii="Arial" w:hAnsi="Arial" w:cs="Arial" w:eastAsia="Arial"/>
          <w:sz w:val="22"/>
          <w:szCs w:val="22"/>
        </w:rPr>
        <w:t>. Diario Oficial de la República de Chile. https://www.bcn.cl/leychile/navegar?idNorma=1209272</w:t>
      </w:r>
    </w:p>
    <w:p>
      <w:pPr>
        <w:spacing w:before="0" w:after="120" w:line="360" w:lineRule="auto"/>
        <w:ind w:left="720" w:hanging="720"/>
      </w:pPr>
      <w:r>
        <w:rPr>
          <w:rFonts w:ascii="Arial" w:hAnsi="Arial" w:cs="Arial" w:eastAsia="Arial"/>
          <w:sz w:val="22"/>
          <w:szCs w:val="22"/>
        </w:rPr>
        <w:t xml:space="preserve">Mailblast. (2026). </w:t>
      </w:r>
      <w:r>
        <w:rPr>
          <w:rFonts w:ascii="Arial" w:hAnsi="Arial" w:cs="Arial" w:eastAsia="Arial"/>
          <w:i/>
          <w:iCs/>
          <w:sz w:val="22"/>
          <w:szCs w:val="22"/>
        </w:rPr>
        <w:t>Amazon SES pricing 2026: $0.10/1,000 emails plus 4 hidden costs</w:t>
      </w:r>
      <w:r>
        <w:rPr>
          <w:rFonts w:ascii="Arial" w:hAnsi="Arial" w:cs="Arial" w:eastAsia="Arial"/>
          <w:sz w:val="22"/>
          <w:szCs w:val="22"/>
        </w:rPr>
        <w:t>. https://www.mailblast.io/blog/ses/amazon-ses-pricing</w:t>
      </w:r>
    </w:p>
    <w:p>
      <w:pPr>
        <w:spacing w:before="0" w:after="120" w:line="360" w:lineRule="auto"/>
        <w:ind w:left="720" w:hanging="720"/>
      </w:pPr>
      <w:r>
        <w:rPr>
          <w:rFonts w:ascii="Arial" w:hAnsi="Arial" w:cs="Arial" w:eastAsia="Arial"/>
          <w:sz w:val="22"/>
          <w:szCs w:val="22"/>
        </w:rPr>
        <w:t xml:space="preserve">Microsoft. (2026a). </w:t>
      </w:r>
      <w:r>
        <w:rPr>
          <w:rFonts w:ascii="Arial" w:hAnsi="Arial" w:cs="Arial" w:eastAsia="Arial"/>
          <w:i/>
          <w:iCs/>
          <w:sz w:val="22"/>
          <w:szCs w:val="22"/>
        </w:rPr>
        <w:t>Azure Retail Prices API: región Chile Central</w:t>
      </w:r>
      <w:r>
        <w:rPr>
          <w:rFonts w:ascii="Arial" w:hAnsi="Arial" w:cs="Arial" w:eastAsia="Arial"/>
          <w:sz w:val="22"/>
          <w:szCs w:val="22"/>
        </w:rPr>
        <w:t xml:space="preserve"> [Conjunto de datos]. Recuperado el 6 de octubre de 2026, de https://prices.azure.com/api/retail/prices</w:t>
      </w:r>
    </w:p>
    <w:p>
      <w:pPr>
        <w:spacing w:before="0" w:after="120" w:line="360" w:lineRule="auto"/>
        <w:ind w:left="720" w:hanging="720"/>
      </w:pPr>
      <w:r>
        <w:rPr>
          <w:rFonts w:ascii="Arial" w:hAnsi="Arial" w:cs="Arial" w:eastAsia="Arial"/>
          <w:sz w:val="22"/>
          <w:szCs w:val="22"/>
        </w:rPr>
        <w:t xml:space="preserve">Microsoft. (2026b). </w:t>
      </w:r>
      <w:r>
        <w:rPr>
          <w:rFonts w:ascii="Arial" w:hAnsi="Arial" w:cs="Arial" w:eastAsia="Arial"/>
          <w:i/>
          <w:iCs/>
          <w:sz w:val="22"/>
          <w:szCs w:val="22"/>
        </w:rPr>
        <w:t>Azure support plans comparison</w:t>
      </w:r>
      <w:r>
        <w:rPr>
          <w:rFonts w:ascii="Arial" w:hAnsi="Arial" w:cs="Arial" w:eastAsia="Arial"/>
          <w:sz w:val="22"/>
          <w:szCs w:val="22"/>
        </w:rPr>
        <w:t>. Recuperado el 6 de octubre de 2026, de https://azure.microsoft.com/en-us/support/plans/</w:t>
      </w:r>
    </w:p>
    <w:p>
      <w:pPr>
        <w:spacing w:before="0" w:after="120" w:line="360" w:lineRule="auto"/>
        <w:ind w:left="720" w:hanging="720"/>
      </w:pPr>
      <w:r>
        <w:rPr>
          <w:rFonts w:ascii="Arial" w:hAnsi="Arial" w:cs="Arial" w:eastAsia="Arial"/>
          <w:sz w:val="22"/>
          <w:szCs w:val="22"/>
        </w:rPr>
        <w:t xml:space="preserve">NIC Chile. (2026). </w:t>
      </w:r>
      <w:r>
        <w:rPr>
          <w:rFonts w:ascii="Arial" w:hAnsi="Arial" w:cs="Arial" w:eastAsia="Arial"/>
          <w:i/>
          <w:iCs/>
          <w:sz w:val="22"/>
          <w:szCs w:val="22"/>
        </w:rPr>
        <w:t>Tarifas vigentes para .CL</w:t>
      </w:r>
      <w:r>
        <w:rPr>
          <w:rFonts w:ascii="Arial" w:hAnsi="Arial" w:cs="Arial" w:eastAsia="Arial"/>
          <w:sz w:val="22"/>
          <w:szCs w:val="22"/>
        </w:rPr>
        <w:t>. Recuperado el 6 de octubre de 2026, de https://nic.cl/dominios/tarifas.html</w:t>
      </w:r>
    </w:p>
    <w:p>
      <w:pPr>
        <w:spacing w:before="0" w:after="120" w:line="360" w:lineRule="auto"/>
        <w:ind w:left="720" w:hanging="720"/>
      </w:pPr>
      <w:r>
        <w:rPr>
          <w:rFonts w:ascii="Arial" w:hAnsi="Arial" w:cs="Arial" w:eastAsia="Arial"/>
          <w:sz w:val="22"/>
          <w:szCs w:val="22"/>
        </w:rPr>
        <w:t xml:space="preserve">Object Management Group [OMG]. (2017). </w:t>
      </w:r>
      <w:r>
        <w:rPr>
          <w:rFonts w:ascii="Arial" w:hAnsi="Arial" w:cs="Arial" w:eastAsia="Arial"/>
          <w:i/>
          <w:iCs/>
          <w:sz w:val="22"/>
          <w:szCs w:val="22"/>
        </w:rPr>
        <w:t>OMG Unified Modeling Language</w:t>
      </w:r>
      <w:r>
        <w:rPr>
          <w:rFonts w:ascii="Arial" w:hAnsi="Arial" w:cs="Arial" w:eastAsia="Arial"/>
          <w:sz w:val="22"/>
          <w:szCs w:val="22"/>
        </w:rPr>
        <w:t xml:space="preserve"> (versión 2.5.1). https://www.omg.org/spec/UML/2.5.1/</w:t>
      </w:r>
    </w:p>
    <w:p>
      <w:pPr>
        <w:spacing w:before="0" w:after="120" w:line="360" w:lineRule="auto"/>
        <w:ind w:left="720" w:hanging="720"/>
      </w:pPr>
      <w:r>
        <w:rPr>
          <w:rFonts w:ascii="Arial" w:hAnsi="Arial" w:cs="Arial" w:eastAsia="Arial"/>
          <w:sz w:val="22"/>
          <w:szCs w:val="22"/>
        </w:rPr>
        <w:t xml:space="preserve">OWASP Foundation. (2021). </w:t>
      </w:r>
      <w:r>
        <w:rPr>
          <w:rFonts w:ascii="Arial" w:hAnsi="Arial" w:cs="Arial" w:eastAsia="Arial"/>
          <w:i/>
          <w:iCs/>
          <w:sz w:val="22"/>
          <w:szCs w:val="22"/>
        </w:rPr>
        <w:t>OWASP Top 10:2021</w:t>
      </w:r>
      <w:r>
        <w:rPr>
          <w:rFonts w:ascii="Arial" w:hAnsi="Arial" w:cs="Arial" w:eastAsia="Arial"/>
          <w:sz w:val="22"/>
          <w:szCs w:val="22"/>
        </w:rPr>
        <w:t>. https://owasp.org/Top10/</w:t>
      </w:r>
    </w:p>
    <w:p>
      <w:pPr>
        <w:spacing w:before="0" w:after="120" w:line="360" w:lineRule="auto"/>
        <w:ind w:left="720" w:hanging="720"/>
      </w:pPr>
      <w:r>
        <w:rPr>
          <w:rFonts w:ascii="Arial" w:hAnsi="Arial" w:cs="Arial" w:eastAsia="Arial"/>
          <w:sz w:val="22"/>
          <w:szCs w:val="22"/>
        </w:rPr>
        <w:t xml:space="preserve">Pauta. (2026, 6 de octubre). </w:t>
      </w:r>
      <w:r>
        <w:rPr>
          <w:rFonts w:ascii="Arial" w:hAnsi="Arial" w:cs="Arial" w:eastAsia="Arial"/>
          <w:i/>
          <w:iCs/>
          <w:sz w:val="22"/>
          <w:szCs w:val="22"/>
        </w:rPr>
        <w:t>Valor UF hoy martes 6 de octubre: revisa su precio en Chile</w:t>
      </w:r>
      <w:r>
        <w:rPr>
          <w:rFonts w:ascii="Arial" w:hAnsi="Arial" w:cs="Arial" w:eastAsia="Arial"/>
          <w:sz w:val="22"/>
          <w:szCs w:val="22"/>
        </w:rPr>
        <w:t>. https://www.pauta.cl/dato-en-pauta/2026/10/06/valor-de-la-uf-hoy-martes-6-de-octubre-revisa-el-precio-de-la-unidad-de-fomento.html</w:t>
      </w:r>
    </w:p>
    <w:p>
      <w:pPr>
        <w:spacing w:before="0" w:after="120" w:line="360" w:lineRule="auto"/>
        <w:ind w:left="720" w:hanging="720"/>
      </w:pPr>
      <w:r>
        <w:rPr>
          <w:rFonts w:ascii="Arial" w:hAnsi="Arial" w:cs="Arial" w:eastAsia="Arial"/>
          <w:sz w:val="22"/>
          <w:szCs w:val="22"/>
        </w:rPr>
        <w:t xml:space="preserve">PCI Security Standards Council. (2022). </w:t>
      </w:r>
      <w:r>
        <w:rPr>
          <w:rFonts w:ascii="Arial" w:hAnsi="Arial" w:cs="Arial" w:eastAsia="Arial"/>
          <w:i/>
          <w:iCs/>
          <w:sz w:val="22"/>
          <w:szCs w:val="22"/>
        </w:rPr>
        <w:t>Payment Card Industry Data Security Standard</w:t>
      </w:r>
      <w:r>
        <w:rPr>
          <w:rFonts w:ascii="Arial" w:hAnsi="Arial" w:cs="Arial" w:eastAsia="Arial"/>
          <w:sz w:val="22"/>
          <w:szCs w:val="22"/>
        </w:rPr>
        <w:t xml:space="preserve"> (versión 4.0). https://www.pcisecuritystandards.org/</w:t>
      </w:r>
    </w:p>
    <w:p>
      <w:pPr>
        <w:spacing w:before="0" w:after="120" w:line="360" w:lineRule="auto"/>
        <w:ind w:left="720" w:hanging="720"/>
      </w:pPr>
      <w:r>
        <w:rPr>
          <w:rFonts w:ascii="Arial" w:hAnsi="Arial" w:cs="Arial" w:eastAsia="Arial"/>
          <w:sz w:val="22"/>
          <w:szCs w:val="22"/>
        </w:rPr>
        <w:t xml:space="preserve">PostgreSQL Global Development Group. (2026). </w:t>
      </w:r>
      <w:r>
        <w:rPr>
          <w:rFonts w:ascii="Arial" w:hAnsi="Arial" w:cs="Arial" w:eastAsia="Arial"/>
          <w:i/>
          <w:iCs/>
          <w:sz w:val="22"/>
          <w:szCs w:val="22"/>
        </w:rPr>
        <w:t>PostgreSQL documentation: Constraints</w:t>
      </w:r>
      <w:r>
        <w:rPr>
          <w:rFonts w:ascii="Arial" w:hAnsi="Arial" w:cs="Arial" w:eastAsia="Arial"/>
          <w:sz w:val="22"/>
          <w:szCs w:val="22"/>
        </w:rPr>
        <w:t>. https://www.postgresql.org/docs/current/ddl-constraints.html</w:t>
      </w:r>
    </w:p>
    <w:p>
      <w:pPr>
        <w:spacing w:before="0" w:after="120" w:line="360" w:lineRule="auto"/>
        <w:ind w:left="720" w:hanging="720"/>
      </w:pPr>
      <w:r>
        <w:rPr>
          <w:rFonts w:ascii="Arial" w:hAnsi="Arial" w:cs="Arial" w:eastAsia="Arial"/>
          <w:sz w:val="22"/>
          <w:szCs w:val="22"/>
        </w:rPr>
        <w:t xml:space="preserve">Project Management Institute [PMI]. (2021). </w:t>
      </w:r>
      <w:r>
        <w:rPr>
          <w:rFonts w:ascii="Arial" w:hAnsi="Arial" w:cs="Arial" w:eastAsia="Arial"/>
          <w:i/>
          <w:iCs/>
          <w:sz w:val="22"/>
          <w:szCs w:val="22"/>
        </w:rPr>
        <w:t>A guide to the project management body of knowledge (PMBOK® guide)</w:t>
      </w:r>
      <w:r>
        <w:rPr>
          <w:rFonts w:ascii="Arial" w:hAnsi="Arial" w:cs="Arial" w:eastAsia="Arial"/>
          <w:sz w:val="22"/>
          <w:szCs w:val="22"/>
        </w:rPr>
        <w:t xml:space="preserve"> (7.ª ed.). Project Management Institute.</w:t>
      </w:r>
    </w:p>
    <w:p>
      <w:pPr>
        <w:spacing w:before="0" w:after="120" w:line="360" w:lineRule="auto"/>
        <w:ind w:left="720" w:hanging="720"/>
      </w:pPr>
      <w:r>
        <w:rPr>
          <w:rFonts w:ascii="Arial" w:hAnsi="Arial" w:cs="Arial" w:eastAsia="Arial"/>
          <w:sz w:val="22"/>
          <w:szCs w:val="22"/>
        </w:rPr>
        <w:t xml:space="preserve">Servicio de Impuestos Internos [SII]. (2026a). </w:t>
      </w:r>
      <w:r>
        <w:rPr>
          <w:rFonts w:ascii="Arial" w:hAnsi="Arial" w:cs="Arial" w:eastAsia="Arial"/>
          <w:i/>
          <w:iCs/>
          <w:sz w:val="22"/>
          <w:szCs w:val="22"/>
        </w:rPr>
        <w:t>Unidad Tributaria Mensual (UTM) 2026</w:t>
      </w:r>
      <w:r>
        <w:rPr>
          <w:rFonts w:ascii="Arial" w:hAnsi="Arial" w:cs="Arial" w:eastAsia="Arial"/>
          <w:sz w:val="22"/>
          <w:szCs w:val="22"/>
        </w:rPr>
        <w:t>. Recuperado el 6 de octubre de 2026, de https://www.sii.cl/valores_y_fechas/utm/utm2026.htm</w:t>
      </w:r>
    </w:p>
    <w:p>
      <w:pPr>
        <w:spacing w:before="0" w:after="120" w:line="360" w:lineRule="auto"/>
        <w:ind w:left="720" w:hanging="720"/>
      </w:pPr>
      <w:r>
        <w:rPr>
          <w:rFonts w:ascii="Arial" w:hAnsi="Arial" w:cs="Arial" w:eastAsia="Arial"/>
          <w:sz w:val="22"/>
          <w:szCs w:val="22"/>
        </w:rPr>
        <w:t xml:space="preserve">Servicio de Impuestos Internos [SII]. (2026b). </w:t>
      </w:r>
      <w:r>
        <w:rPr>
          <w:rFonts w:ascii="Arial" w:hAnsi="Arial" w:cs="Arial" w:eastAsia="Arial"/>
          <w:i/>
          <w:iCs/>
          <w:sz w:val="22"/>
          <w:szCs w:val="22"/>
        </w:rPr>
        <w:t>Dólar observado 2026</w:t>
      </w:r>
      <w:r>
        <w:rPr>
          <w:rFonts w:ascii="Arial" w:hAnsi="Arial" w:cs="Arial" w:eastAsia="Arial"/>
          <w:sz w:val="22"/>
          <w:szCs w:val="22"/>
        </w:rPr>
        <w:t>. Recuperado el 6 de octubre de 2026, de https://www.sii.cl/valores_y_fechas/dolar/dolar2026.htm</w:t>
      </w:r>
    </w:p>
    <w:p>
      <w:pPr>
        <w:spacing w:before="0" w:after="120" w:line="360" w:lineRule="auto"/>
        <w:ind w:left="720" w:hanging="720"/>
      </w:pPr>
      <w:r>
        <w:rPr>
          <w:rFonts w:ascii="Arial" w:hAnsi="Arial" w:cs="Arial" w:eastAsia="Arial"/>
          <w:sz w:val="22"/>
          <w:szCs w:val="22"/>
        </w:rPr>
        <w:t>Supabase. (2026). Pricing. Recuperado el 22 de octubre de 2026, de https://supabase.com/pricing</w:t>
      </w:r>
    </w:p>
    <w:p>
      <w:pPr>
        <w:spacing w:before="0" w:after="120" w:line="360" w:lineRule="auto"/>
        <w:ind w:left="720" w:hanging="720"/>
      </w:pPr>
      <w:r>
        <w:rPr>
          <w:rFonts w:ascii="Arial" w:hAnsi="Arial" w:cs="Arial" w:eastAsia="Arial"/>
          <w:sz w:val="22"/>
          <w:szCs w:val="22"/>
        </w:rPr>
        <w:t xml:space="preserve">Transbank. (2026). </w:t>
      </w:r>
      <w:r>
        <w:rPr>
          <w:rFonts w:ascii="Arial" w:hAnsi="Arial" w:cs="Arial" w:eastAsia="Arial"/>
          <w:i/>
          <w:iCs/>
          <w:sz w:val="22"/>
          <w:szCs w:val="22"/>
        </w:rPr>
        <w:t>¿Cuánto cobra Webpay por vender por internet?</w:t>
      </w:r>
      <w:r>
        <w:rPr>
          <w:rFonts w:ascii="Arial" w:hAnsi="Arial" w:cs="Arial" w:eastAsia="Arial"/>
          <w:sz w:val="22"/>
          <w:szCs w:val="22"/>
        </w:rPr>
        <w:t xml:space="preserve"> Centro de ayuda. Recuperado el 6 de octubre de 2026, de https://ayuda.transbank.cl/tarifas-vender-webpay</w:t>
      </w:r>
    </w:p>
    <w:p>
      <w:pPr>
        <w:spacing w:before="0" w:after="120" w:line="360" w:lineRule="auto"/>
        <w:ind w:left="720" w:hanging="720"/>
      </w:pPr>
      <w:r>
        <w:rPr>
          <w:rFonts w:ascii="Arial" w:hAnsi="Arial" w:cs="Arial" w:eastAsia="Arial"/>
          <w:sz w:val="22"/>
          <w:szCs w:val="22"/>
        </w:rPr>
        <w:t xml:space="preserve">V2Networks. (2026). </w:t>
      </w:r>
      <w:r>
        <w:rPr>
          <w:rFonts w:ascii="Arial" w:hAnsi="Arial" w:cs="Arial" w:eastAsia="Arial"/>
          <w:i/>
          <w:iCs/>
          <w:sz w:val="22"/>
          <w:szCs w:val="22"/>
        </w:rPr>
        <w:t>VPS Chile, servidores rápidos con respaldo incluido</w:t>
      </w:r>
      <w:r>
        <w:rPr>
          <w:rFonts w:ascii="Arial" w:hAnsi="Arial" w:cs="Arial" w:eastAsia="Arial"/>
          <w:sz w:val="22"/>
          <w:szCs w:val="22"/>
        </w:rPr>
        <w:t>. Recuperado el 6 de octubre de 2026, de https://v2networks.cl/vps/</w:t>
      </w:r>
    </w:p>
    <w:p>
      <w:pPr>
        <w:spacing w:before="0" w:after="120" w:line="360" w:lineRule="auto"/>
        <w:ind w:left="720" w:hanging="720"/>
      </w:pPr>
      <w:r>
        <w:rPr>
          <w:rFonts w:ascii="Arial" w:hAnsi="Arial" w:cs="Arial" w:eastAsia="Arial"/>
          <w:sz w:val="22"/>
          <w:szCs w:val="22"/>
        </w:rPr>
        <w:t xml:space="preserve">World Wide Web Consortium [W3C]. (2018). </w:t>
      </w:r>
      <w:r>
        <w:rPr>
          <w:rFonts w:ascii="Arial" w:hAnsi="Arial" w:cs="Arial" w:eastAsia="Arial"/>
          <w:i/>
          <w:iCs/>
          <w:sz w:val="22"/>
          <w:szCs w:val="22"/>
        </w:rPr>
        <w:t>Web Content Accessibility Guidelines (WCAG) 2.1</w:t>
      </w:r>
      <w:r>
        <w:rPr>
          <w:rFonts w:ascii="Arial" w:hAnsi="Arial" w:cs="Arial" w:eastAsia="Arial"/>
          <w:sz w:val="22"/>
          <w:szCs w:val="22"/>
        </w:rPr>
        <w:t>. https://www.w3.org/TR/WCAG21/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Inventario y Resumen de Cambios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Un-named</cp:lastModifiedBy>
  <cp:revision>1</cp:revision>
  <dcterms:created xsi:type="dcterms:W3CDTF">2026-08-27T15:54:55.185Z</dcterms:created>
  <dcterms:modified xsi:type="dcterms:W3CDTF">2026-08-27T15:54:55.185Z</dcterms:modified>
  <dc:title>00_Inventario_y_Resumen_de_Cambios</dc:title>
</cp:coreProperties>
</file>

<file path=docProps/custom.xml><?xml version="1.0" encoding="utf-8"?>
<Properties xmlns="http://schemas.openxmlformats.org/officeDocument/2006/custom-properties" xmlns:vt="http://schemas.openxmlformats.org/officeDocument/2006/docPropsVTypes"/>
</file>