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la Calidad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la Calidad define los objetivos, estándares, métricas y actividades de aseguramiento y control que garantizan que el Proyecto Barbería Big-Boys satisface los requisitos del ERS y está listo para operar en las tres sucursales, cumpliendo la Ley N° 19.628 y, de forma anticipada,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Objetivos de Calidad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agendamiento con abono funciona sin errores en el 100% de los casos de prueba y nunca permite reservas traslapadas.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100% de los requerimientos de prioridad Muy alta y Alta de la V1 superan sus pruebas de aceptación.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Cero secretos en el código fuente y cero datos de tarjetas almacenados.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100% de las solicitudes de derechos del titular se responden dentro de 30 días corridos.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Satisfacción del dueño/a y de los administradores ≥ 4 de 5 en la UAT.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El negocio mide y mejora sus KPIs: abandono en día peak ≤ 8% y no-show ≤ 5%.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Estándares y Normas Aplicables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Estándares y Normas Aplicables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617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Estándar / norma</w:t>
            </w:r>
          </w:p>
        </w:tc>
        <w:tc>
          <w:tcPr>
            <w:tcW w:w="61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Aplicación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IEEE 830 (IEEE, 1998)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(ERS).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ISO/IEC 25010 (ISO/IEC, 2011)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de calidad del producto: adecuación funcional, rendimiento, usabilidad, fiabilidad, seguridad, mantenibilidad y portabilidad.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4+1 (Kruchten, 1995) y UML 2.5 (Object Management Group [OMG], 2017)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arquitectura y diagramas.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OWASP Top 10 (OWASP Foundation, 2021)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Seguridad de la web y de la app móvil.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PCI DSS (PCI Security Standards Council, 2022) (delegado en la pasarela)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sistema no almacena, procesa ni transmite datos de tarjetas.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Ley N° 19.628 y Ley N° 21.719 (Ley N° 19.628, 1999; Ley N° 21.719, 2024)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Protección de datos personales: licitud, consentimiento, derechos, seguridad y brechas.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DAMA-DMBOK (DAMA International, 2017)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Gobierno, calidad y ciclo de vida de los datos.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Material Design 3 y WCAG 2.1 AA (World Wide Web Consortium [W3C], 2018)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Usabilidad y accesibilidad (contraste, tamaño táctil ≥ 48 dp).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Convenciones de código (Kotlin, ESLint) y SQL en snake_case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Mantenibilidad y legibilidad.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Métricas de Calidad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Métricas de Calidad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4180"/>
        <w:gridCol w:w="2660"/>
      </w:tblGrid>
      <w:tr>
        <w:trPr>
          <w:tblHeader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41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Meta / Umbral aceptable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Defectos por iteración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Defectos abiertos al cierre de cada semana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3 menores; 0 críticos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Cobertura de pruebas de requisitos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RF con caso de prueba aprobado / RF de la V1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 Muy alta/Alta; ≥ 90% total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de cálculo de disponibilidad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Respuesta del endpoint de horarios (p95)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200 ms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de confirmación de reserva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Desde el retorno de la pasarela hasta el comprobante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3 s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para agendar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Tarea completa de un cliente nuevo en la UAT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&lt; 60 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Disponibilidad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Tiempo en servicio en horario de atención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≥ 99,5%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Cumplimiento de plazos de derechos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Solicitudes respondidas ≤ 30 días / total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Trazabilidad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Accesos a datos personales con registro de auditoría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100%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Tasa de abandono (KPI de negocio)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Abandonos / turnos registrados en día peak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8% (línea base 16,7%)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Tasa de no-show (KPI de negocio)</w:t>
            </w:r>
          </w:p>
        </w:tc>
        <w:tc>
          <w:tcPr>
            <w:tcW w:w="41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NO_SHOW / reservas confirmadas</w:t>
            </w:r>
          </w:p>
        </w:tc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≤ 5%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Ocupación por barbero</w:t>
            </w:r>
          </w:p>
        </w:tc>
        <w:tc>
          <w:tcPr>
            <w:tcW w:w="41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Minutos atendidos / minutos de jornada</w:t>
            </w:r>
          </w:p>
        </w:tc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≥ 75% en día peak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Aseguramiento de la Calidad (QA)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Revisión cruzada de código (pull request) antes de integrar a la rama principal.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Checklist de definición de terminado: requisito trazado, prueba escrita, documentación actualizada, sin secretos, revisión aprobada.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Revisión de privacidad por diseño en cada historia que trate datos personales (minimización, finalidad, plazo de conservación).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Auditoría semanal de documentos para asegurar coherencia de cifras, nombres y fechas entre documentos.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estático (linters) y escaneo de dependencias vulnerables.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Control de la Calidad (QC)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unitarias de reglas de negocio (abono, 24 h, máximo 2 reagendamientos, estados de reserva y turno).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base de datos: el script DDL se valida automáticamente con 24 casos (doble reserva, reagendamiento, auditoría inmutable, abono parametrizable, plazos de derechos, alta de colaboradores, duración máxima y calificación de reseñas) — resultado: 22/22 aprobados en PGlite el 08-10-2026 y en Supabase (PostgreSQL 17) el 20-10-2026, y 24/24 en PGlite el 22-10-2026 con la tabla resena. La API (funciones api_*) se probó con 17/17 casos el 22-10-2026.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integración web–app–API–BD–pasarela en ambiente de integración de Transbank.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seguridad (OWASP Top 10 básico) y de privacidad (ejercicio de los 6 derechos, retención, consentimiento).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Pruebas de aceptación (UAT) con el/la dueño/a y marcha blanca en las tres sucursales.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Herramientas de Calidad a Utilizar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Checklist de revisión de código y de privacidad por diseño.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Matriz de trazabilidad RF ↔ CU ↔ tablas ↔ casos de prueba.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Diagrama de Ishikawa para análisis de causa raíz de defectos críticos.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Diagrama de Pareto de defectos por módulo.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Tablero de KPIs del propio sistema (abandono, no-show, ocupación).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PGlite y Supabase (PostgreSQL 17) para pruebas automatizadas del esquema.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Roles y Responsabilidades de Calidad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Roles y Responsabilidades de Calidad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6650"/>
      </w:tblGrid>
      <w:tr>
        <w:trPr>
          <w:tblHeader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Analista QA (Yerko Rosales)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pruebas, casos de prueba, ejecución de UAT, métricas de calidad y revisión de documentos.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(Yerko Rosales)</w:t>
            </w:r>
          </w:p>
        </w:tc>
        <w:tc>
          <w:tcPr>
            <w:tcW w:w="66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Aprobar el cumplimiento de criterios de calidad en cada hito y gestionar acciones correctivas.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 (Jonathan Ojeda)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unitarias e integración, corrección de defectos, revisión de código del otro integrante.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(responsable de cumplimiento)</w:t>
            </w:r>
          </w:p>
        </w:tc>
        <w:tc>
          <w:tcPr>
            <w:tcW w:w="66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la UAT y aprobar políticas de privacidad y retención.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International Organization for Standardization &amp; International Electrotechnical Commission [ISO/IEC]. (2011). </w:t>
      </w:r>
      <w:r>
        <w:rPr>
          <w:rFonts w:ascii="Arial" w:hAnsi="Arial" w:cs="Arial" w:eastAsia="Arial"/>
          <w:i/>
          <w:iCs/>
          <w:sz w:val="22"/>
          <w:szCs w:val="22"/>
        </w:rPr>
        <w:t>Systems and software engineering — Systems and software Quality Requirements and Evaluation (SQuaRE) — System and software quality models</w:t>
      </w:r>
      <w:r>
        <w:rPr>
          <w:rFonts w:ascii="Arial" w:hAnsi="Arial" w:cs="Arial" w:eastAsia="Arial"/>
          <w:sz w:val="22"/>
          <w:szCs w:val="22"/>
        </w:rPr>
        <w:t xml:space="preserve"> (ISO/IEC 25010:2011).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Kruchten, P. B. (1995). The 4+1 view model of architecture. </w:t>
      </w:r>
      <w:r>
        <w:rPr>
          <w:rFonts w:ascii="Arial" w:hAnsi="Arial" w:cs="Arial" w:eastAsia="Arial"/>
          <w:i/>
          <w:iCs/>
          <w:sz w:val="22"/>
          <w:szCs w:val="22"/>
        </w:rPr>
        <w:t>IEEE Software, 12</w:t>
      </w:r>
      <w:r>
        <w:rPr>
          <w:rFonts w:ascii="Arial" w:hAnsi="Arial" w:cs="Arial" w:eastAsia="Arial"/>
          <w:sz w:val="22"/>
          <w:szCs w:val="22"/>
        </w:rPr>
        <w:t>(6), 42–50. https://doi.org/10.1109/52.469759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Object Management Group [OMG]. (2017). </w:t>
      </w:r>
      <w:r>
        <w:rPr>
          <w:rFonts w:ascii="Arial" w:hAnsi="Arial" w:cs="Arial" w:eastAsia="Arial"/>
          <w:i/>
          <w:iCs/>
          <w:sz w:val="22"/>
          <w:szCs w:val="22"/>
        </w:rPr>
        <w:t>OMG Unified Modeling Language</w:t>
      </w:r>
      <w:r>
        <w:rPr>
          <w:rFonts w:ascii="Arial" w:hAnsi="Arial" w:cs="Arial" w:eastAsia="Arial"/>
          <w:sz w:val="22"/>
          <w:szCs w:val="22"/>
        </w:rPr>
        <w:t xml:space="preserve"> (versión 2.5.1). https://www.omg.org/spec/UML/2.5.1/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OWASP Foundation. (2021). </w:t>
      </w:r>
      <w:r>
        <w:rPr>
          <w:rFonts w:ascii="Arial" w:hAnsi="Arial" w:cs="Arial" w:eastAsia="Arial"/>
          <w:i/>
          <w:iCs/>
          <w:sz w:val="22"/>
          <w:szCs w:val="22"/>
        </w:rPr>
        <w:t>OWASP Top 10:2021</w:t>
      </w:r>
      <w:r>
        <w:rPr>
          <w:rFonts w:ascii="Arial" w:hAnsi="Arial" w:cs="Arial" w:eastAsia="Arial"/>
          <w:sz w:val="22"/>
          <w:szCs w:val="22"/>
        </w:rPr>
        <w:t>. https://owasp.org/Top10/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PCI Security Standards Council. (2022). </w:t>
      </w:r>
      <w:r>
        <w:rPr>
          <w:rFonts w:ascii="Arial" w:hAnsi="Arial" w:cs="Arial" w:eastAsia="Arial"/>
          <w:i/>
          <w:iCs/>
          <w:sz w:val="22"/>
          <w:szCs w:val="22"/>
        </w:rPr>
        <w:t>Payment Card Industry Data Security Standard</w:t>
      </w:r>
      <w:r>
        <w:rPr>
          <w:rFonts w:ascii="Arial" w:hAnsi="Arial" w:cs="Arial" w:eastAsia="Arial"/>
          <w:sz w:val="22"/>
          <w:szCs w:val="22"/>
        </w:rPr>
        <w:t xml:space="preserve"> (versión 4.0). https://www.pcisecuritystandards.org/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World Wide Web Consortium [W3C]. (2018). </w:t>
      </w:r>
      <w:r>
        <w:rPr>
          <w:rFonts w:ascii="Arial" w:hAnsi="Arial" w:cs="Arial" w:eastAsia="Arial"/>
          <w:i/>
          <w:iCs/>
          <w:sz w:val="22"/>
          <w:szCs w:val="22"/>
        </w:rPr>
        <w:t>Web Content Accessibility Guidelines (WCAG) 2.1</w:t>
      </w:r>
      <w:r>
        <w:rPr>
          <w:rFonts w:ascii="Arial" w:hAnsi="Arial" w:cs="Arial" w:eastAsia="Arial"/>
          <w:sz w:val="22"/>
          <w:szCs w:val="22"/>
        </w:rPr>
        <w:t>. https://www.w3.org/TR/WCAG21/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Gestión de la Calidad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2026-08-27T15:54:56.701Z</dcterms:created>
  <dcterms:modified xsi:type="dcterms:W3CDTF">2026-08-27T15:54:56.702Z</dcterms:modified>
  <dc:title>09_Plan_Gestion_Calidad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