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Plan de Gestión de los Riesgos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1.0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Plan de Gestión de los Riesgos del Proyecto Barbería Big-Boys define la metodología para identificar, analizar, responder y monitorear los riesgos del proyecto y del producto. Sigue el enfoque de gestión de riesgos del PMBOK (Project Management Institute [PMI], 2021), incorpora explícitamente el riesgo regulatorio de la Ley N° 21.719 (Ley N° 21.719, 2024) y cuantifica el riesgo evitado de sanciones como valor agregado del producto.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Metodología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Identificación en cada reunión semanal y en cada hito.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Análisis cualitativo: probabilidad (1–5) × impacto (1–5); nivel Alto ≥ 15, Medio 8–14, Bajo ≤ 7.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Estrategias: evitar, mitigar, transferir o aceptar.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Monitoreo semanal; los riesgos Altos se informan al patrocinador.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Registro de Riesgos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Riesgos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570"/>
        <w:gridCol w:w="2280"/>
        <w:gridCol w:w="950"/>
        <w:gridCol w:w="380"/>
        <w:gridCol w:w="380"/>
        <w:gridCol w:w="855"/>
        <w:gridCol w:w="2945"/>
        <w:gridCol w:w="1140"/>
      </w:tblGrid>
      <w:tr>
        <w:trPr>
          <w:tblHeader/>
        </w:trPr>
        <w:tc>
          <w:tcPr>
            <w:tcW w:w="5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ID</w:t>
            </w:r>
          </w:p>
        </w:tc>
        <w:tc>
          <w:tcPr>
            <w:tcW w:w="22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Riesgo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Categoría</w:t>
            </w:r>
          </w:p>
        </w:tc>
        <w:tc>
          <w:tcPr>
            <w:tcW w:w="3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</w:t>
            </w:r>
          </w:p>
        </w:tc>
        <w:tc>
          <w:tcPr>
            <w:tcW w:w="3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</w:t>
            </w:r>
          </w:p>
        </w:tc>
        <w:tc>
          <w:tcPr>
            <w:tcW w:w="8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Nivel</w:t>
            </w:r>
          </w:p>
        </w:tc>
        <w:tc>
          <w:tcPr>
            <w:tcW w:w="29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Respuesta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Dueño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R-01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Sanción por incumplimiento de la normativa de datos personales (Ley N° 21.719) al entrar en vigencia el 01-12-2026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Legal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Cumplimiento desde el diseño: consentimientos, «Mis datos», RAT, auditoría, retención, procedimiento de brechas y políticas publicadas antes del lanzamiento.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 (responsable de cumplimiento) / YR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R-02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Atraso en la migración de Cloud Firestore a PostgreSQL (actividad crítica 1.4.3)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Cronograma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Alto (16)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Priorizar el flujo de reserva con abono; reutilizar pantallas; punto de control el 23-10-2026; reserva de contingencia.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R-03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Brecha de seguridad o exposición de credenciales (se detectó una clave de correo en el código del prototipo)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Seguridad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Alto (15)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Revocar la clave expuesta, mover secretos a variables de entorno/gestor, revisión de código, TLS, cifrado en reposo y procedimiento de notificación.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R-04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Baja adopción de la reserva online por los clientes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Negocio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Pop-up de invitado con beneficio, reserva en menos de 60 s, cupón de bienvenida y difusión en el local.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 / 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R-05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Fallas o demoras en la integración con la pasarela de pago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(12)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Ambiente de integración de Transbank desde el 19-10; alternativa Mercado Pago; pruebas de casos de rechazo.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R-06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Resistencia del personal a dejar la planilla Excel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Organizacional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Capacitación de 30 min, guía rápida, registro de atención en 3 toques y marcha blanca acompañada.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R-07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Comisión mínima de la pasarela eleva el costo del abono a 3,7–5,7%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Financiero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Aceptar: Monto de abono parametrizable; evaluar Mercado Pago; informar al dueño/a.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R-08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Pérdida de datos por falla del servidor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Continuidad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Respaldo diario cifrado con 30 días de retención, prueba de restauración trimestral (RPO 24 h, RTO 4 h).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R-09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Transferencia internacional de datos: la base de datos está alojada en Supabase (EE. UU.)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Legal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Bajo (6)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declarar la transferencia en la Política de Privacidad y en el RAT; respaldarla con el acuerdo de tratamiento de datos (DPA) del proveedor; evaluar una región en Chile al escalar.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R-10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Supuestos de demanda, servicio de los clientes perdidos y no-show incorrectos (KPIs y ROI sobre o subestimados)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Negocio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Validar supuestos con el dueño/a; análisis de sensibilidad del precio (Barba a S. Completo); medir abandono y ticket reales desde la marcha blanca.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R-11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Doble reserva del mismo horario por concurrencia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(8)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Restricción de exclusión en PostgreSQL (verificada) y manejo del error 409 en la interfaz.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R-12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Postergación de la Ley N° 21.719 a diciembre de 2027 (proyecto de ley en trámite)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Regulatorio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</w:t>
            </w:r>
          </w:p>
        </w:tc>
        <w:tc>
          <w:tcPr>
            <w:tcW w:w="855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Bajo (3)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Aceptar: Sin impacto en el producto: ya cumple; se mantiene como valor agregado.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R-13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Disponibilidad limitada del equipo (2 integrantes, carga académica)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Recursos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Reunión semanal fija, tareas pequeñas en tablero, trabajo asíncrono vía GitHub.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Matriz de Probabilidad e Impacto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Probabilidad e Impacto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1520"/>
        <w:gridCol w:w="1520"/>
        <w:gridCol w:w="1520"/>
        <w:gridCol w:w="1520"/>
        <w:gridCol w:w="1520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Probabilidad \ Impacto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1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2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3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4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5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5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R-07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4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R-02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3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R-12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R-04, R-06, R-10, R-13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R-05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R-03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2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R-09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R-11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R-01, R-08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1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Riesgo Regulatorio y Valor del Cumplimiento Anticipado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La Ley N° 21.719 entra en plena vigencia el 1 de diciembre de 2026, tres semanas después de la entrega del proyecto. Un sistema que no cumpla quedaría expuesto a sanciones desde su primer mes de operación. Al diseñar el sistema cumpliendo desde su lanzamiento, el riesgo R-01 se trata con la estrategia </w:t>
      </w:r>
      <w:r>
        <w:rPr>
          <w:rFonts w:ascii="Arial" w:hAnsi="Arial" w:cs="Arial" w:eastAsia="Arial"/>
          <w:b/>
          <w:bCs/>
          <w:sz w:val="22"/>
          <w:szCs w:val="22"/>
        </w:rPr>
        <w:t>evitar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Riesgo de sanciones evitado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4275"/>
        <w:gridCol w:w="1900"/>
        <w:gridCol w:w="3325"/>
      </w:tblGrid>
      <w:tr>
        <w:trPr>
          <w:tblHeader/>
        </w:trPr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Tipo de infracción (régimen sancionatorio, art. 35 — Ley N° 21.719)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Multa máxima</w:t>
            </w:r>
          </w:p>
        </w:tc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Equivalente en CLP (UTM oct-2026 = $72.151)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Leve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$360.755.000</w:t>
            </w:r>
          </w:p>
        </w:tc>
      </w:tr>
      <w:tr>
        <w:trPr>
          <w:cantSplit/>
        </w:trPr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Grave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10.000 UTM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$721.510.000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Gravísima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20.000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$1.443.020.000</w:t>
            </w:r>
          </w:p>
        </w:tc>
      </w:tr>
    </w:tbl>
    <w:p>
      <w:pPr>
        <w:spacing w:before="0" w:after="60"/>
      </w:pP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Montos máximos del régimen sancionatorio (Ley N° 21.719, 2024), convertidos con la UTM de octubre de 2026, $72.151 (SII, 2026a). En caso de reincidencia, para empresas que no son de menor tamaño, la multa puede triplicarse o alcanzar el 2% (graves) o 4% (gravísimas) de los ingresos anuales. Durante los primeros 12 meses de vigencia, las empresas de menor tamaño pueden recibir amonestación escrita en lugar de multa (art. 6° transitorio).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proyecto de ley que propone postergar la vigencia al 1 de diciembre de 2027 (ingresado al Senado el 1 de septiembre de 2026; Carey Abogados, 2026) se menciona solo como contexto: no afecta al producto, porque ya cumple (R-12).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Seguimiento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Responsable del plan: Jefe de Proyecto. Revisión semanal; los cambios de nivel se registran en el Informe de Estado de Avance (12).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Registro de Cambios de este Plan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Cambios de este Plan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40"/>
        <w:gridCol w:w="1710"/>
        <w:gridCol w:w="6650"/>
      </w:tblGrid>
      <w:tr>
        <w:trPr>
          <w:tblHeader/>
        </w:trPr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66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1.0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Versión inicial: 13 riesgos, matriz y riesgo regulatorio cuantificado.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Carey Abogados. (2026). </w:t>
      </w:r>
      <w:r>
        <w:rPr>
          <w:rFonts w:ascii="Arial" w:hAnsi="Arial" w:cs="Arial" w:eastAsia="Arial"/>
          <w:i/>
          <w:iCs/>
          <w:sz w:val="22"/>
          <w:szCs w:val="22"/>
        </w:rPr>
        <w:t>Gobierno ingresa proyecto de ley que posterga en un año entrada en vigor de la Ley 21.719 sobre Protección de Datos Personales y fortalece la institucionalidad de la Agencia de Protección de Datos Personales</w:t>
      </w:r>
      <w:r>
        <w:rPr>
          <w:rFonts w:ascii="Arial" w:hAnsi="Arial" w:cs="Arial" w:eastAsia="Arial"/>
          <w:sz w:val="22"/>
          <w:szCs w:val="22"/>
        </w:rPr>
        <w:t>. https://www.carey.cl/gobierno-ingresa-proyecto-de-ley-que-posterga-en-un-ano-entrada-en-vigor-de-la-ley-sobre-proteccion-de-datos-personales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Servicio de Impuestos Internos [SII]. (2026a). </w:t>
      </w:r>
      <w:r>
        <w:rPr>
          <w:rFonts w:ascii="Arial" w:hAnsi="Arial" w:cs="Arial" w:eastAsia="Arial"/>
          <w:i/>
          <w:iCs/>
          <w:sz w:val="22"/>
          <w:szCs w:val="22"/>
        </w:rPr>
        <w:t>Unidad Tributaria Mensual (UTM) 2026</w:t>
      </w:r>
      <w:r>
        <w:rPr>
          <w:rFonts w:ascii="Arial" w:hAnsi="Arial" w:cs="Arial" w:eastAsia="Arial"/>
          <w:sz w:val="22"/>
          <w:szCs w:val="22"/>
        </w:rPr>
        <w:t>. Recuperado el 6 de octubre de 2026, de https://www.sii.cl/valores_y_fechas/utm/utm2026.htm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Plan de Gestión de los Riesgos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15_Plan_Gestion_Riesgos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