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Anexo A — Cumplimiento Normativo y Gobierno de Datos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1.0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Propósito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El Proyecto Barbería Big-Boys se diseña e implementa cumpliendo desde su lanzamiento la Ley N° 21.719 (Ley N° 21.719, 2024), aunque aún no sea obligatoria. </w:t>
      </w:r>
      <w:r>
        <w:rPr>
          <w:rFonts w:ascii="Arial" w:hAnsi="Arial" w:cs="Arial" w:eastAsia="Arial"/>
          <w:b/>
          <w:bCs/>
          <w:sz w:val="22"/>
          <w:szCs w:val="22"/>
        </w:rPr>
        <w:t>El sistema implementa de forma anticipada los requisitos de la Ley N° 21.719, asegurando cumplimiento desde su entrada en vigencia y evitando adecuaciones posteriores.</w:t>
      </w:r>
      <w:r>
        <w:rPr>
          <w:rFonts w:ascii="Arial" w:hAnsi="Arial" w:cs="Arial" w:eastAsia="Arial"/>
          <w:sz w:val="22"/>
          <w:szCs w:val="22"/>
        </w:rPr>
        <w:t xml:space="preserve"> Este anexo es un valor agregado y diferenciador del producto: Barbería Big-Boys operará conforme a la nueva normativa antes de que sea exigible, sin necesidad de adecuaciones ni costos futuros.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Marco Legal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Marco Legal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230"/>
        <w:gridCol w:w="2470"/>
        <w:gridCol w:w="3800"/>
      </w:tblGrid>
      <w:tr>
        <w:trPr>
          <w:tblHeader/>
        </w:trPr>
        <w:tc>
          <w:tcPr>
            <w:tcW w:w="32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7"/>
                <w:szCs w:val="17"/>
              </w:rPr>
              <w:t>Norma</w:t>
            </w:r>
          </w:p>
        </w:tc>
        <w:tc>
          <w:tcPr>
            <w:tcW w:w="24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7"/>
                <w:szCs w:val="17"/>
              </w:rPr>
              <w:t>Tratamiento en el producto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Ley N° 19.628 sobre Protección de la Vida Privada (1999)</w:t>
            </w:r>
          </w:p>
        </w:tc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Vigente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El sistema la cumple: uso de datos para la finalidad informada, derechos de acceso, rectificación, cancelación y oposición, y seguridad.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Ley N° 21.719, que regula la protección y el tratamiento de los datos personales y crea la Agencia de Protección de Datos Personales</w:t>
            </w:r>
          </w:p>
        </w:tc>
        <w:tc>
          <w:tcPr>
            <w:tcW w:w="24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Publicada en el Diario Oficial el 13-12-2024; plena vigencia el 01-12-2026 (art. 1° transitorio)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Implementación anticipada completa: consentimiento, derechos (incluidos portabilidad y bloqueo), seguridad, brechas, RAT y responsabilidad proactiva.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Proyecto de ley que posterga la vigencia al 01-12-2027</w:t>
            </w:r>
          </w:p>
        </w:tc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En tramitación (ingresado al Senado el 01-09-2026)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Dato de contexto: no afecta al producto, porque ya cumple.</w:t>
            </w:r>
          </w:p>
        </w:tc>
      </w:tr>
    </w:tbl>
    <w:p>
      <w:pPr>
        <w:spacing w:before="0" w:after="60"/>
      </w:pP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Elaboración propia a partir de la Ley N° 19.628 (Ley N° 19.628, 1999), la Ley N° 21.719 (Ley N° 21.719, 2024) y Carey Abogados (2026).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Matriz de Cumplimiento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Matriz de Cumplimiento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090"/>
        <w:gridCol w:w="2850"/>
        <w:gridCol w:w="1330"/>
        <w:gridCol w:w="1520"/>
        <w:gridCol w:w="1710"/>
      </w:tblGrid>
      <w:tr>
        <w:trPr>
          <w:tblHeader/>
        </w:trPr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Requisito de la Ley N° 21.719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Implementación en el producto</w:t>
            </w:r>
          </w:p>
        </w:tc>
        <w:tc>
          <w:tcPr>
            <w:tcW w:w="13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RF / CU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Entidad de BD</w:t>
            </w:r>
          </w:p>
        </w:tc>
        <w:tc>
          <w:tcPr>
            <w:tcW w:w="17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Pantalla / evidencia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Licitud y consentimiento libre, informado, específico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Aceptación obligatoria de la política vigente con versión, fecha, finalidad y canal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RF-48 / CU-07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consentimiento, politica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DIAG-32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Consentimiento separado para fines promocionales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Casilla opcional desmarcada, revocable en un clic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RF-49 / CU-08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consentimiento (PROMOCIONAL)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DIAG-32, DIAG-33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Derechos de acceso, rectificación, supresión, oposición, portabilidad y bloqueo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Módulo «Mis datos» en web y app con folio y plazo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RF-50 a RF-55 / CU-09 a CU-15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solicitud_derecho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DIAG-34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Plazo de respuesta (30 días corridos, prórroga única)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Cálculo automático de fecha límite, alertas y bandeja del responsable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RF-56 / CU-35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solicitud_derecho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Trigger tg_solicitud_plazo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Principio de proporcionalidad (minimización)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Solo datos necesarios; sin RUT ni datos sensibles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RF-01, RF-03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usuario, cliente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Sección 4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Seguridad de los datos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TLS, cifrado en reposo, hash de contraseñas, RBAC, auditoría, respaldos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RNF-03, RNF-09, RF-57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registro_auditoria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DAS vista física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Notificación de brechas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Registro de incidentes y procedimiento de notificación a la Agencia y titulares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RF-59 / CU-39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incidente_seguridad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Sección 6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Responsabilidad proactiva y registro de actividades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RAT mantenido en el sistema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RF-60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actividad_tratamiento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Sección 7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Deber de información y transparencia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Política de Privacidad y Términos publicados y versionados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RF-61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politica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Documento de políticas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Limitación del plazo de conservación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Retención y anonimización automática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RF-58 / CU-40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configuracion (MESES_*)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Diccionario de datos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Encargados de tratamiento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Contratos con pasarela, hosting y correo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actividad_tratamiento.destinatarios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 de adquisiciones (10)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Transferencia internacional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Base de datos en Supabase (us-west-2, EE. UU.): transferencia internacional declarada en la Política de Privacidad y en el Registro de Actividades de Tratamiento (RAT), con las garantías contractuales del proveedor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RNF-11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actividad_tratamiento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 de costos (08)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Funcionalidades Implementadas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4.1 Consentimiento informado y promocional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Al registrarse o reservar como invitado, el titular acepta la versión vigente de la Política de Privacidad (finalidad SERVICIO). El consentimiento para comunicaciones promocionales —incluido el del pop-up del invitado— es separado, opcional, desmarcado por defecto y revocable en cualquier momento desde «Mis datos › Preferencias». Cada otorgamiento o revocación queda registrado con fecha, versión, finalidad y canal.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DIAG-32 — Pantalla: registro con consentimiento informado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43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32_Pantalla_registro_con_consentimiento_inform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43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Formulario de registro con datos mínimos (sin RUT), aceptación obligatoria de la Política de Privacidad vigente y consentimiento promocional separado, opcional y desmarcado por defecto. Elaboración propia con PlantUML.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DIAG-33 — Pantalla: pop-up promocional para invitados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442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33_Pantalla_pop_up_promocional_para_invi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Pop-up que se muestra una vez por sesión al invitado: incentiva crear perfil sin condicionar la reserva; el consentimiento promocional es opcional. Elaboración propia con PlantUML.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4.2 Módulo «Mis datos»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Disponible en la web y en la app. Permite ejercer los seis derechos; cada solicitud recibe folio, fecha límite de 30 días corridos (prorrogable una vez por igual plazo con aviso fundado), seguimiento de estado y registro en la auditoría. La portabilidad entrega un archivo JSON y CSV.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DIAG-34 — Pantalla: módulo «Mis datos» (derechos del titular)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1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34_Pantalla_modulo_Mis_datos_derechos_del_titul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Módulo disponible en web y app para ejercer los derechos de acceso, rectificación, supresión, oposición, portabilidad y bloqueo, con seguimiento de solicitudes, folio y plazo legal. Elaboración propia con PlantUML.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DIAG-06 — Vista de procesos: secuencia de solicitud de derechos del titular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02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06_Vista_de_procesos_secuencia_de_solicitud_de_derechos_del_titul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Ejercicio de derechos desde el módulo «Mis datos»: la solicitud recibe folio y fecha límite de 30 días corridos; el responsable de cumplimiento la resuelve y todo queda trazado en la auditoría. Elaboración propia con PlantUML.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5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DIAG-26 — Diagrama de estados: Solicitud de derechos del titular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54598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26_Diagrama_de_estados_Solicitud_de_derechos_del_titul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459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Ciclo de una solicitud de acceso, rectificación, supresión, oposición, portabilidad o bloqueo, con el plazo legal de 30 días corridos y una prórroga única. Elaboración propia con PlantUML.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4.3 Minimización: justificación de cada dato solicitado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Minimización: justificación de cada dato solicitado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090"/>
        <w:gridCol w:w="2090"/>
        <w:gridCol w:w="5320"/>
      </w:tblGrid>
      <w:tr>
        <w:trPr>
          <w:tblHeader/>
        </w:trPr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Dato</w:t>
            </w:r>
          </w:p>
        </w:tc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¿Se solicita?</w:t>
            </w:r>
          </w:p>
        </w:tc>
        <w:tc>
          <w:tcPr>
            <w:tcW w:w="53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Justificación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Correo electrónico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Sí (registrado) / opcional (invitado)</w:t>
            </w: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Iniciar sesión, enviar comprobante, confirmación y recordatorio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Nombre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Sí</w:t>
            </w: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Identificar al cliente en la reserva y en el local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Apellido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No (opcional)</w:t>
            </w: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Diferenciar clientes con el mismo nombre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Teléfono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Sí para invitado; opcional para registrado</w:t>
            </w: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Contactar por cambios de última hora en la cita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Contraseña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Sí (solo hash)</w:t>
            </w: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Autenticación; nunca se almacena en claro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RUT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No se solicita</w:t>
            </w: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No es necesario para agendar ni para pagar (el pago lo identifica la pasarela). Se elimina respecto de la versión anterior del ERS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Fecha de nacimiento, dirección, género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No se solicitan</w:t>
            </w: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Sin finalidad para el servicio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Datos de tarjeta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Nunca</w:t>
            </w: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El pago se delega a la pasarela; solo se guarda el ID y el estado de la transacción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Dirección IP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Sí (en auditoría)</w:t>
            </w: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Seguridad y detección de incidentes; se conserva 24 meses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Nombre de pila en la fila presencial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No (opcional)</w:t>
            </w: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Llamar al cliente; se elimina a las 24 horas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4.4 Seguridad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Cifrado en tránsito HTTPS/TLS 1.2 o superior en web, app y API.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Cifrado en reposo del volumen de la base de datos y de los respaldos (AES-256).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Contraseñas con hash Argon2id o bcrypt y bloqueo tras 5 intentos fallidos.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Control de acceso por roles: cliente, barbero, administrador de sucursal y dueño, con alcance por sucursal.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Registro de auditoría inmutable de accesos, cambios y consultas a datos personales.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Respaldo diario cifrado, retención de 30 días y prueba de restauración trimestral.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Secretos fuera del código fuente (variables de entorno / gestor de secretos).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Pagos delegados a la pasarela certificada PCI DSS: el sistema no almacena datos de tarjetas.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4.4.1 Control de acceso por rol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Matriz de permisos por rol en la web y la app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230"/>
        <w:gridCol w:w="1045"/>
        <w:gridCol w:w="1045"/>
        <w:gridCol w:w="1330"/>
        <w:gridCol w:w="1520"/>
        <w:gridCol w:w="1330"/>
      </w:tblGrid>
      <w:tr>
        <w:trPr>
          <w:tblHeader/>
        </w:trPr>
        <w:tc>
          <w:tcPr>
            <w:tcW w:w="32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Acción</w:t>
            </w:r>
          </w:p>
        </w:tc>
        <w:tc>
          <w:tcPr>
            <w:tcW w:w="10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Cliente registrado</w:t>
            </w:r>
          </w:p>
        </w:tc>
        <w:tc>
          <w:tcPr>
            <w:tcW w:w="10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Invitado</w:t>
            </w:r>
          </w:p>
        </w:tc>
        <w:tc>
          <w:tcPr>
            <w:tcW w:w="13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Barbero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Administrador de sucursal (cajero/a)</w:t>
            </w:r>
          </w:p>
        </w:tc>
        <w:tc>
          <w:tcPr>
            <w:tcW w:w="13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Dueño / Admin. general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Crear su propio perfil (autorregistro)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Iniciar sesión, cambiar o recuperar contraseña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(credenciales entregadas por el Dueño)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(credenciales entregadas por el Dueño)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Editar perfil propio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Crear perfiles de colaboradores, entregar credenciales y desactivarlos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(exclusivo)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Ver servicios, precios, sucursales y barberos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Agendar, pagar abono, reprogramar y cancelar su propia reserva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(sin cuenta)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Ver historial, puntos y cupones propios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«Mis datos»: ejercer derechos y gestionar consentimientos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(verificación)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(sus datos)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(sus datos)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(sus datos)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Consultar sus atenciones, monto de cada una y total acumulado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(solo lectura)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Registrar clientes por orden de llegada y llamar turnos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 sucursal)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Confirmar el servicio a prestar e iniciar la atención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 sucursal)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Registrar término, monto, propina y medio de pago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 sucursal)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Marcar no-show o abandono; cancelar por el local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 sucursal)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Ver agenda del día y bloquear horarios de barberos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 sucursal)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Gestionar servicios y promociones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 sucursal)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Gestionar sucursales y configurar monto de reserva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Ver KPIs y generar reportes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(su sucursal)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 (consolidado)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Atender solicitudes de derechos, auditoría, incidentes y retención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✓</w:t>
            </w:r>
          </w:p>
        </w:tc>
      </w:tr>
    </w:tbl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Elaboración propia (control de acceso basado en roles). El barbero solo consulta su propia información; la confirmación del servicio, el inicio y término de la atención, los montos y los cambios de estado los registra el administrador de sucursal (cajero/a). El barbero no ve la agenda ni datos de contacto de los clientes. Solo los clientes crean su propio perfil; los perfiles de colaboradores los crea exclusivamente el Dueño, que entrega las credenciales en forma personal.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4.5 Retención y eliminación automática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5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Retención y eliminación automática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325"/>
        <w:gridCol w:w="2850"/>
        <w:gridCol w:w="3325"/>
      </w:tblGrid>
      <w:tr>
        <w:trPr>
          <w:tblHeader/>
        </w:trPr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Plazo</w:t>
            </w:r>
          </w:p>
        </w:tc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Acción al vencer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Cuenta de cliente inactiva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24 meses sin actividad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Aviso 30 días antes y anonimización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Cliente invitado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12 meses desde la última reserva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Anonimización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Nombre en fila presencial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24 horas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Eliminación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Reservas, atenciones y pagos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6 años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 conservan sin vínculo identificable tras la supresión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Registro de auditoría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24 meses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Eliminación por lotes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Consentimientos y solicitudes de derechos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Relación + 5 años / 5 años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Eliminación</w:t>
            </w:r>
          </w:p>
        </w:tc>
      </w:tr>
    </w:tbl>
    <w:p>
      <w:pPr>
        <w:spacing w:before="0" w:after="60"/>
      </w:pPr>
    </w:p>
    <w:p>
      <w:pPr>
        <w:pBdr>
          <w:left w:val="single" w:sz="18" w:space="6" w:color="C9A227"/>
        </w:pBdr>
        <w:shd w:val="clear" w:color="auto" w:fill="FFF4D6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SUPUESTO — por validar: </w:t>
      </w:r>
      <w:r>
        <w:rPr>
          <w:rFonts w:ascii="Arial" w:hAnsi="Arial" w:cs="Arial" w:eastAsia="Arial"/>
          <w:sz w:val="21"/>
          <w:szCs w:val="21"/>
        </w:rPr>
        <w:t>Los plazos son propuestos por el equipo (S-17) y quedan parametrizados en la tabla configuracion; validar los plazos tributarios con el contador.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4.6 Privacidad desde el diseño y por defecto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Configuración por defecto más protectora (promociones desactivadas).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Reportes y KPIs con datos agregados o seudonimizados.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Los barberos solo consultan sus propias atenciones y montos, sin datos de contacto de los clientes; los administradores de sucursal, solo los datos de su local.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Sin datos sensibles por diseño; textos libres con advertencia.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Procedimiento de Notificación de Brechas de Seguridad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1. </w:t>
      </w:r>
      <w:r>
        <w:rPr>
          <w:rFonts w:ascii="Arial" w:hAnsi="Arial" w:cs="Arial" w:eastAsia="Arial"/>
          <w:b/>
          <w:bCs/>
          <w:sz w:val="22"/>
          <w:szCs w:val="22"/>
        </w:rPr>
        <w:t>Detección y registro</w:t>
      </w:r>
      <w:r>
        <w:rPr>
          <w:rFonts w:ascii="Arial" w:hAnsi="Arial" w:cs="Arial" w:eastAsia="Arial"/>
          <w:sz w:val="22"/>
          <w:szCs w:val="22"/>
        </w:rPr>
        <w:t xml:space="preserve"> (inmediato): cualquier integrante que detecte un incidente lo registra en </w:t>
      </w:r>
      <w:r>
        <w:rPr>
          <w:rFonts w:ascii="Consolas" w:hAnsi="Consolas" w:cs="Consolas" w:eastAsia="Consolas"/>
          <w:sz w:val="20"/>
          <w:szCs w:val="20"/>
        </w:rPr>
        <w:t>incidente_seguridad</w:t>
      </w:r>
      <w:r>
        <w:rPr>
          <w:rFonts w:ascii="Arial" w:hAnsi="Arial" w:cs="Arial" w:eastAsia="Arial"/>
          <w:sz w:val="22"/>
          <w:szCs w:val="22"/>
        </w:rPr>
        <w:t xml:space="preserve"> y avisa al responsable de cumplimiento.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2. </w:t>
      </w:r>
      <w:r>
        <w:rPr>
          <w:rFonts w:ascii="Arial" w:hAnsi="Arial" w:cs="Arial" w:eastAsia="Arial"/>
          <w:b/>
          <w:bCs/>
          <w:sz w:val="22"/>
          <w:szCs w:val="22"/>
        </w:rPr>
        <w:t>Contención</w:t>
      </w:r>
      <w:r>
        <w:rPr>
          <w:rFonts w:ascii="Arial" w:hAnsi="Arial" w:cs="Arial" w:eastAsia="Arial"/>
          <w:sz w:val="22"/>
          <w:szCs w:val="22"/>
        </w:rPr>
        <w:t xml:space="preserve"> (primeras horas): aislar el componente, revocar credenciales comprometidas y preservar evidencia (logs de auditoría).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3. </w:t>
      </w:r>
      <w:r>
        <w:rPr>
          <w:rFonts w:ascii="Arial" w:hAnsi="Arial" w:cs="Arial" w:eastAsia="Arial"/>
          <w:b/>
          <w:bCs/>
          <w:sz w:val="22"/>
          <w:szCs w:val="22"/>
        </w:rPr>
        <w:t>Evaluación del riesgo</w:t>
      </w:r>
      <w:r>
        <w:rPr>
          <w:rFonts w:ascii="Arial" w:hAnsi="Arial" w:cs="Arial" w:eastAsia="Arial"/>
          <w:sz w:val="22"/>
          <w:szCs w:val="22"/>
        </w:rPr>
        <w:t>: categorías de datos, número de titulares afectados y probabilidad de daño (BAJO / MEDIO / ALTO).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4. </w:t>
      </w:r>
      <w:r>
        <w:rPr>
          <w:rFonts w:ascii="Arial" w:hAnsi="Arial" w:cs="Arial" w:eastAsia="Arial"/>
          <w:b/>
          <w:bCs/>
          <w:sz w:val="22"/>
          <w:szCs w:val="22"/>
        </w:rPr>
        <w:t>Notificación a la Agencia de Protección de Datos Personales</w:t>
      </w:r>
      <w:r>
        <w:rPr>
          <w:rFonts w:ascii="Arial" w:hAnsi="Arial" w:cs="Arial" w:eastAsia="Arial"/>
          <w:sz w:val="22"/>
          <w:szCs w:val="22"/>
        </w:rPr>
        <w:t xml:space="preserve"> por los medios más expeditos y sin dilaciones indebidas cuando exista riesgo razonable para los derechos de los titulares.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5. </w:t>
      </w:r>
      <w:r>
        <w:rPr>
          <w:rFonts w:ascii="Arial" w:hAnsi="Arial" w:cs="Arial" w:eastAsia="Arial"/>
          <w:b/>
          <w:bCs/>
          <w:sz w:val="22"/>
          <w:szCs w:val="22"/>
        </w:rPr>
        <w:t>Comunicación a los titulares</w:t>
      </w:r>
      <w:r>
        <w:rPr>
          <w:rFonts w:ascii="Arial" w:hAnsi="Arial" w:cs="Arial" w:eastAsia="Arial"/>
          <w:sz w:val="22"/>
          <w:szCs w:val="22"/>
        </w:rPr>
        <w:t xml:space="preserve"> en lenguaje claro y sencillo cuando corresponda según la ley (p. ej., datos financieros o de menores), indicando medidas recomendadas.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6. </w:t>
      </w:r>
      <w:r>
        <w:rPr>
          <w:rFonts w:ascii="Arial" w:hAnsi="Arial" w:cs="Arial" w:eastAsia="Arial"/>
          <w:b/>
          <w:bCs/>
          <w:sz w:val="22"/>
          <w:szCs w:val="22"/>
        </w:rPr>
        <w:t>Remediación y cierre</w:t>
      </w:r>
      <w:r>
        <w:rPr>
          <w:rFonts w:ascii="Arial" w:hAnsi="Arial" w:cs="Arial" w:eastAsia="Arial"/>
          <w:sz w:val="22"/>
          <w:szCs w:val="22"/>
        </w:rPr>
        <w:t>: corrección de la causa raíz, registro de lecciones aprendidas y actualización del plan de riesgos.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Registro de Actividades de Tratamiento (RAT)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6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Registro de Actividades de Tratamiento (RAT)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520"/>
        <w:gridCol w:w="2090"/>
        <w:gridCol w:w="1235"/>
        <w:gridCol w:w="1710"/>
        <w:gridCol w:w="1330"/>
        <w:gridCol w:w="1615"/>
      </w:tblGrid>
      <w:tr>
        <w:trPr>
          <w:tblHeader/>
        </w:trPr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Actividad</w:t>
            </w:r>
          </w:p>
        </w:tc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Finalidad</w:t>
            </w:r>
          </w:p>
        </w:tc>
        <w:tc>
          <w:tcPr>
            <w:tcW w:w="12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Base de licitud</w:t>
            </w:r>
          </w:p>
        </w:tc>
        <w:tc>
          <w:tcPr>
            <w:tcW w:w="17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Datos</w:t>
            </w:r>
          </w:p>
        </w:tc>
        <w:tc>
          <w:tcPr>
            <w:tcW w:w="13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Destinatarios</w:t>
            </w:r>
          </w:p>
        </w:tc>
        <w:tc>
          <w:tcPr>
            <w:tcW w:w="161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Plazo</w:t>
            </w:r>
          </w:p>
        </w:tc>
      </w:tr>
      <w:tr>
        <w:trPr>
          <w:cantSplit/>
        </w:trPr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Gestión de cuentas y reservas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Crear la cuenta, agendar, confirmar y recordar citas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Contrato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Nombre, correo, teléfono, historial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Hosting, correo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Cuenta activa; 24 meses de inactividad</w:t>
            </w:r>
          </w:p>
        </w:tc>
      </w:tr>
      <w:tr>
        <w:trPr>
          <w:cantSplit/>
        </w:trPr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Cobro de abono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Garantizar la asistencia ($3.000)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Contrato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 de transacción, monto, estado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Transbank / Mercado Pago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6 años</w:t>
            </w:r>
          </w:p>
        </w:tc>
      </w:tr>
      <w:tr>
        <w:trPr>
          <w:cantSplit/>
        </w:trPr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Comunicaciones promocionales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Ofertas y beneficios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Consentimiento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Nombre, correo, teléfono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Correo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Hasta revocación</w:t>
            </w:r>
          </w:p>
        </w:tc>
      </w:tr>
      <w:tr>
        <w:trPr>
          <w:cantSplit/>
        </w:trPr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Atención por orden de llegada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Gestionar la fila y medir abandono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Interés legítimo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Nombre de pila (opcional)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Ninguno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24 h; estadística anónima</w:t>
            </w:r>
          </w:p>
        </w:tc>
      </w:tr>
      <w:tr>
        <w:trPr>
          <w:cantSplit/>
        </w:trPr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Registro de atenciones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Reemplazar el Excel, caja y reportes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Contrato / obligación legal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Servicio, monto, barbero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Ninguno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6 años</w:t>
            </w:r>
          </w:p>
        </w:tc>
      </w:tr>
      <w:tr>
        <w:trPr>
          <w:cantSplit/>
        </w:trPr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Derechos del titular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Atender solicitudes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Obligación legal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Identificación y detalle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Ninguno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5 años</w:t>
            </w:r>
          </w:p>
        </w:tc>
      </w:tr>
      <w:tr>
        <w:trPr>
          <w:cantSplit/>
        </w:trPr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Seguridad y auditoría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Prevenir y detectar incidentes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Interés legítimo / obligación legal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Usuario, acción, IP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Ninguno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24 meses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7. Gobierno de Datos (marco DAMA-DMBOK)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El modelo de gobierno se basa en el marco de referencia DAMA-DMBOK (DAMA International, 2017), adaptado al tamaño del negocio.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 Roles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7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Roles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375"/>
        <w:gridCol w:w="2850"/>
        <w:gridCol w:w="4275"/>
      </w:tblGrid>
      <w:tr>
        <w:trPr>
          <w:tblHeader/>
        </w:trPr>
        <w:tc>
          <w:tcPr>
            <w:tcW w:w="23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Rol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Asignado a</w:t>
            </w:r>
          </w:p>
        </w:tc>
        <w:tc>
          <w:tcPr>
            <w:tcW w:w="4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Responsabilidades</w:t>
            </w:r>
          </w:p>
        </w:tc>
      </w:tr>
      <w:tr>
        <w:trPr>
          <w:cantSplit/>
        </w:trPr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Dueño de los datos (Data Owner)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Dueño/a de Barbería Big-Boys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Define finalidades, aprueba políticas, plazos de retención y accesos; responde ante la Agencia como responsable del tratamiento.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Custodio técnico (Data Custodian)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Desarrollador / administrador del sistema (Jonathan Ojeda durante el proyecto)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Implementa controles técnicos, respaldos, cifrado, permisos y la retención automática.</w:t>
            </w:r>
          </w:p>
        </w:tc>
      </w:tr>
      <w:tr>
        <w:trPr>
          <w:cantSplit/>
        </w:trPr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Responsable de cumplimiento / Encargado de protección de datos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Persona designada por el dueño/a [por validar] (Yerko Rosales durante el proyecto)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Atiende solicitudes de derechos, mantiene el RAT, coordina brechas y capacita al personal.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Usuarios de datos (Data Stewards operativos)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Administradores de sucursal y barberos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Registran datos correctos y completos; usan los datos solo para la finalidad de servicio.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7.2 Matriz RACI de gobierno de datos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8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Matriz RACI de gobierno de datos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4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w="34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Actividad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Dueño de los datos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Custodio técnico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Resp. de cumplimiento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Usuarios de datos</w:t>
            </w:r>
          </w:p>
        </w:tc>
      </w:tr>
      <w:tr>
        <w:trPr>
          <w:cantSplit/>
        </w:trPr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Aprobar políticas de privacidad y retención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</w:t>
            </w:r>
          </w:p>
        </w:tc>
      </w:tr>
      <w:tr>
        <w:trPr>
          <w:cantSplit/>
        </w:trPr>
        <w:tc>
          <w:tcPr>
            <w:tcW w:w="34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Clasificar datos y mantener el diccionario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</w:t>
            </w:r>
          </w:p>
        </w:tc>
      </w:tr>
      <w:tr>
        <w:trPr>
          <w:cantSplit/>
        </w:trPr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Gestionar accesos por rol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</w:t>
            </w:r>
          </w:p>
        </w:tc>
      </w:tr>
      <w:tr>
        <w:trPr>
          <w:cantSplit/>
        </w:trPr>
        <w:tc>
          <w:tcPr>
            <w:tcW w:w="34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Atender solicitudes de derechos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</w:t>
            </w:r>
          </w:p>
        </w:tc>
      </w:tr>
      <w:tr>
        <w:trPr>
          <w:cantSplit/>
        </w:trPr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Ejecutar retención y anonimización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—</w:t>
            </w:r>
          </w:p>
        </w:tc>
      </w:tr>
      <w:tr>
        <w:trPr>
          <w:cantSplit/>
        </w:trPr>
        <w:tc>
          <w:tcPr>
            <w:tcW w:w="34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Gestionar brechas de seguridad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</w:t>
            </w:r>
          </w:p>
        </w:tc>
      </w:tr>
      <w:tr>
        <w:trPr>
          <w:cantSplit/>
        </w:trPr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Mantener el RAT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—</w:t>
            </w:r>
          </w:p>
        </w:tc>
      </w:tr>
      <w:tr>
        <w:trPr>
          <w:cantSplit/>
        </w:trPr>
        <w:tc>
          <w:tcPr>
            <w:tcW w:w="34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Calidad del dato en la operación diaria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</w:tr>
      <w:tr>
        <w:trPr>
          <w:cantSplit/>
        </w:trPr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Capacitación en protección de datos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7.3 Clasificación de datos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9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Clasificación de datos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710"/>
        <w:gridCol w:w="3990"/>
        <w:gridCol w:w="3800"/>
      </w:tblGrid>
      <w:tr>
        <w:trPr>
          <w:tblHeader/>
        </w:trPr>
        <w:tc>
          <w:tcPr>
            <w:tcW w:w="17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9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Ejemplos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Controles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Público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Sucursales, servicios, precios, barberos publicados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Sin restricción de lectura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Interno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Reservas, atenciones, configuración, KPIs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Acceso por rol y sucursal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Dato personal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Nombre, correo, teléfono, IP, consentimientos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Acceso mínimo necesario, auditoría, cifrado, retención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Dato sensible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No se tratan por diseño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Prohibido registrarlos en campos libres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7.4 Ciclo de vida del dato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6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DIAG-29 — Gobierno de datos: ciclo de vida del dato personal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058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29_Gobierno_de_datos_ciclo_de_vida_del_dato_pers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0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Etapas del ciclo de vida (captura, uso, conservación y eliminación) con los controles aplicados en cada una, según el marco DAMA-DMBOK y la Ley N° 21.719. Elaboración propia con PlantUML. Notación basada en DAMA International (2017).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7.5 Políticas de calidad, retención y acceso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Calidad</w:t>
      </w:r>
      <w:r>
        <w:rPr>
          <w:rFonts w:ascii="Arial" w:hAnsi="Arial" w:cs="Arial" w:eastAsia="Arial"/>
          <w:sz w:val="22"/>
          <w:szCs w:val="22"/>
        </w:rPr>
        <w:t>: validación de formato en origen (correo, teléfono), datos obligatorios mínimos, corrección por el titular (rectificación) y reglas de integridad en la BD.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Retención</w:t>
      </w:r>
      <w:r>
        <w:rPr>
          <w:rFonts w:ascii="Arial" w:hAnsi="Arial" w:cs="Arial" w:eastAsia="Arial"/>
          <w:sz w:val="22"/>
          <w:szCs w:val="22"/>
        </w:rPr>
        <w:t>: plazos de la sección 4.5, parametrizados y ejecutados automáticamente.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Acceso</w:t>
      </w:r>
      <w:r>
        <w:rPr>
          <w:rFonts w:ascii="Arial" w:hAnsi="Arial" w:cs="Arial" w:eastAsia="Arial"/>
          <w:sz w:val="22"/>
          <w:szCs w:val="22"/>
        </w:rPr>
        <w:t>: principio de mínimo privilegio; revisión trimestral de usuarios y roles; desactivación inmediata al término de la relación laboral.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8. Cuantificación del Valor Agregado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10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Riesgo de sanciones evitado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4275"/>
        <w:gridCol w:w="1900"/>
        <w:gridCol w:w="3325"/>
      </w:tblGrid>
      <w:tr>
        <w:trPr>
          <w:tblHeader/>
        </w:trPr>
        <w:tc>
          <w:tcPr>
            <w:tcW w:w="4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Tipo de infracción (régimen sancionatorio, art. 35 — Ley N° 21.719)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Multa máxima</w:t>
            </w:r>
          </w:p>
        </w:tc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Equivalente en CLP (UTM oct-2026 = $72.151)</w:t>
            </w:r>
          </w:p>
        </w:tc>
      </w:tr>
      <w:tr>
        <w:trPr>
          <w:cantSplit/>
        </w:trPr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Leve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5.000 UTM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$360.755.000</w:t>
            </w:r>
          </w:p>
        </w:tc>
      </w:tr>
      <w:tr>
        <w:trPr>
          <w:cantSplit/>
        </w:trPr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Grave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10.000 UTM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$721.510.000</w:t>
            </w:r>
          </w:p>
        </w:tc>
      </w:tr>
      <w:tr>
        <w:trPr>
          <w:cantSplit/>
        </w:trPr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Gravísima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20.000 UTM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$1.443.020.000</w:t>
            </w:r>
          </w:p>
        </w:tc>
      </w:tr>
    </w:tbl>
    <w:p>
      <w:pPr>
        <w:spacing w:before="0" w:after="60"/>
      </w:pP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Montos máximos del régimen sancionatorio (Ley N° 21.719, 2024), convertidos con la UTM de octubre de 2026, $72.151 (SII, 2026a). En caso de reincidencia, para empresas que no son de menor tamaño, la multa puede triplicarse o alcanzar el 2% (graves) o 4% (gravísimas) de los ingresos anuales. Durante los primeros 12 meses de vigencia, las empresas de menor tamaño pueden recibir amonestación escrita en lugar de multa (art. 6° transitorio).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Cuantificación del Valor Agregado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325"/>
        <w:gridCol w:w="6175"/>
      </w:tblGrid>
      <w:tr>
        <w:trPr>
          <w:tblHeader/>
        </w:trPr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Beneficio</w:t>
            </w:r>
          </w:p>
        </w:tc>
        <w:tc>
          <w:tcPr>
            <w:tcW w:w="61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Cuantificación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Costo de adecuación posterior evitado</w:t>
            </w:r>
          </w:p>
        </w:tc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$525.546 (120 h de adecuación vs. 34 h de cumplimiento desde el diseño; supuesto S-18)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Multa máxima evitada (infracción grave)</w:t>
            </w:r>
          </w:p>
        </w:tc>
        <w:tc>
          <w:tcPr>
            <w:tcW w:w="61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$721.510.000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Confianza del cliente</w:t>
            </w:r>
          </w:p>
        </w:tc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Mensaje diferenciador: «Tus datos protegidos según la nueva ley, desde el primer día»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Protección de la reputación</w:t>
            </w:r>
          </w:p>
        </w:tc>
        <w:tc>
          <w:tcPr>
            <w:tcW w:w="61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Procedimiento de brechas y transparencia reducen el impacto de un incidente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Preparación ante fiscalización</w:t>
            </w:r>
          </w:p>
        </w:tc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RAT, políticas, auditoría y evidencias listas para la Agencia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Carey Abogados. (2026). </w:t>
      </w:r>
      <w:r>
        <w:rPr>
          <w:rFonts w:ascii="Arial" w:hAnsi="Arial" w:cs="Arial" w:eastAsia="Arial"/>
          <w:i/>
          <w:iCs/>
          <w:sz w:val="22"/>
          <w:szCs w:val="22"/>
        </w:rPr>
        <w:t>Gobierno ingresa proyecto de ley que posterga en un año entrada en vigor de la Ley 21.719 sobre Protección de Datos Personales y fortalece la institucionalidad de la Agencia de Protección de Datos Personales</w:t>
      </w:r>
      <w:r>
        <w:rPr>
          <w:rFonts w:ascii="Arial" w:hAnsi="Arial" w:cs="Arial" w:eastAsia="Arial"/>
          <w:sz w:val="22"/>
          <w:szCs w:val="22"/>
        </w:rPr>
        <w:t>. https://www.carey.cl/gobierno-ingresa-proyecto-de-ley-que-posterga-en-un-ano-entrada-en-vigor-de-la-ley-sobre-proteccion-de-datos-personales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DAMA International. (2017). </w:t>
      </w:r>
      <w:r>
        <w:rPr>
          <w:rFonts w:ascii="Arial" w:hAnsi="Arial" w:cs="Arial" w:eastAsia="Arial"/>
          <w:i/>
          <w:iCs/>
          <w:sz w:val="22"/>
          <w:szCs w:val="22"/>
        </w:rPr>
        <w:t>DAMA-DMBOK: Data management body of knowledge</w:t>
      </w:r>
      <w:r>
        <w:rPr>
          <w:rFonts w:ascii="Arial" w:hAnsi="Arial" w:cs="Arial" w:eastAsia="Arial"/>
          <w:sz w:val="22"/>
          <w:szCs w:val="22"/>
        </w:rPr>
        <w:t xml:space="preserve"> (2.ª ed.). Technics Publications.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19.628. (1999, 28 de agosto). </w:t>
      </w:r>
      <w:r>
        <w:rPr>
          <w:rFonts w:ascii="Arial" w:hAnsi="Arial" w:cs="Arial" w:eastAsia="Arial"/>
          <w:i/>
          <w:iCs/>
          <w:sz w:val="22"/>
          <w:szCs w:val="22"/>
        </w:rPr>
        <w:t>Sobre protección de la vida privada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https://www.bcn.cl/leychile/navegar?idNorma=141599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21.719. (2024, 13 de diciembre). </w:t>
      </w:r>
      <w:r>
        <w:rPr>
          <w:rFonts w:ascii="Arial" w:hAnsi="Arial" w:cs="Arial" w:eastAsia="Arial"/>
          <w:i/>
          <w:iCs/>
          <w:sz w:val="22"/>
          <w:szCs w:val="22"/>
        </w:rPr>
        <w:t>Regula la protección y el tratamiento de los datos personales y crea la Agencia de Protección de Datos Personales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https://www.bcn.cl/leychile/navegar?idNorma=1209272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PCI Security Standards Council. (2022). </w:t>
      </w:r>
      <w:r>
        <w:rPr>
          <w:rFonts w:ascii="Arial" w:hAnsi="Arial" w:cs="Arial" w:eastAsia="Arial"/>
          <w:i/>
          <w:iCs/>
          <w:sz w:val="22"/>
          <w:szCs w:val="22"/>
        </w:rPr>
        <w:t>Payment Card Industry Data Security Standard</w:t>
      </w:r>
      <w:r>
        <w:rPr>
          <w:rFonts w:ascii="Arial" w:hAnsi="Arial" w:cs="Arial" w:eastAsia="Arial"/>
          <w:sz w:val="22"/>
          <w:szCs w:val="22"/>
        </w:rPr>
        <w:t xml:space="preserve"> (versión 4.0). https://www.pcisecuritystandards.org/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Servicio de Impuestos Internos [SII]. (2026a). </w:t>
      </w:r>
      <w:r>
        <w:rPr>
          <w:rFonts w:ascii="Arial" w:hAnsi="Arial" w:cs="Arial" w:eastAsia="Arial"/>
          <w:i/>
          <w:iCs/>
          <w:sz w:val="22"/>
          <w:szCs w:val="22"/>
        </w:rPr>
        <w:t>Unidad Tributaria Mensual (UTM) 2026</w:t>
      </w:r>
      <w:r>
        <w:rPr>
          <w:rFonts w:ascii="Arial" w:hAnsi="Arial" w:cs="Arial" w:eastAsia="Arial"/>
          <w:sz w:val="22"/>
          <w:szCs w:val="22"/>
        </w:rPr>
        <w:t>. Recuperado el 6 de octubre de 2026, de https://www.sii.cl/valores_y_fechas/utm/utm2026.htm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>Anexo A — Cumplimiento Normativo y Gobierno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2026-08-27T15:54:55.185Z</dcterms:created>
  <dcterms:modified xsi:type="dcterms:W3CDTF">2026-08-27T15:54:55.185Z</dcterms:modified>
  <dc:title>Anexo_A_Cumplimiento_Normativo_y_Gobierno_de_Datos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