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 w14:paraId="6803E4C4" w14:textId="77777777" w:rsidR="003A56F9" w:rsidRDefault="00000000">
      <w:pPr>
        <w:spacing w:before="400" w:after="400"/>
        <w:jc w:val="center"/>
      </w:pPr>
      <w:r>
        <w:rPr>
          <w:b/>
          <w:bCs/>
          <w:color w:val="1F3864"/>
          <w:sz w:val="32"/>
          <w:szCs w:val="32"/>
        </w:rPr>
        <w:t>DUOC UC</w:t>
      </w:r>
    </w:p>
    <w:p w14:paraId="69C650E8" w14:textId="77777777" w:rsidR="003A56F9" w:rsidRDefault="00000000">
      <w:pPr>
        <w:spacing w:after="600"/>
        <w:jc w:val="center"/>
      </w:pPr>
      <w:r>
        <w:rPr>
          <w:sz w:val="22"/>
          <w:szCs w:val="22"/>
        </w:rPr>
        <w:t>Escuela de Informática y Telecomunicaciones</w:t>
      </w:r>
    </w:p>
    <w:p w14:paraId="781AD5AE" w14:textId="77777777" w:rsidR="003A56F9" w:rsidRDefault="00000000">
      <w:pPr>
        <w:spacing w:before="800" w:after="200"/>
        <w:jc w:val="center"/>
      </w:pPr>
      <w:r>
        <w:rPr>
          <w:b/>
          <w:bCs/>
          <w:color w:val="1F3864"/>
          <w:sz w:val="32"/>
          <w:szCs w:val="32"/>
        </w:rPr>
        <w:t>Política de Privacidad y Términos y Condiciones</w:t>
      </w:r>
    </w:p>
    <w:p w14:paraId="402B79DA" w14:textId="77777777" w:rsidR="008C0EC9" w:rsidRDefault="00000000">
      <w:pPr>
        <w:spacing w:after="800"/>
        <w:jc w:val="center"/>
        <w:rPr>
          <w:b/>
          <w:bCs/>
        </w:rPr>
      </w:pPr>
      <w:r>
        <w:rPr>
          <w:b/>
          <w:bCs/>
        </w:rPr>
        <w:t>Proyecto Barbería Big-Boys</w:t>
      </w:r>
    </w:p>
    <w:p w14:paraId="7FFFE397" w14:textId="77777777" w:rsidR="008C0EC9" w:rsidRDefault="00000000">
      <w:pPr>
        <w:spacing w:after="800"/>
        <w:jc w:val="center"/>
        <w:rPr>
          <w:b/>
          <w:bCs/>
        </w:rPr>
      </w:pPr>
      <w:r>
        <w:rPr>
          <w:b/>
          <w:bCs/>
        </w:rPr>
        <w:t>—</w:t>
      </w:r>
    </w:p>
    <w:p w14:paraId="388468A6" w14:textId="5EEE88B8" w:rsidR="003A56F9" w:rsidRDefault="00000000">
      <w:pPr>
        <w:spacing w:after="800"/>
        <w:jc w:val="center"/>
      </w:pPr>
      <w:r>
        <w:rPr>
          <w:b/>
          <w:bCs/>
        </w:rPr>
        <w:t>Sistema de agendamiento y gestión (web + app móvil)</w:t>
      </w:r>
      <w:proofErr w:type="gramStart"/>
      <w:r>
        <w:rPr>
          <w:b/>
          <w:bCs/>
        </w:rPr>
      </w:r>
      <w:proofErr w:type="gramEnd"/>
      <w:r>
        <w:rPr>
          <w:b/>
          <w:bCs/>
        </w:rPr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300"/>
      </w:tblGrid>
      <w:tr>
        <w:tc>
          <w:tcPr>
            <w:tcW w:type="dxa" w:w="25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Asignatura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0"/>
                <w:iCs w:val="false"/>
                <w:color w:val="000000"/>
                <w:sz w:val="20"/>
                <w:szCs w:val="20"/>
              </w:rPr>
              <w:t>PTY4614 — Capstone</w:t>
            </w:r>
          </w:p>
        </w:tc>
      </w:tr>
      <w:tr>
        <w:tc>
          <w:tcPr>
            <w:tcW w:type="dxa" w:w="25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Sección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0"/>
                <w:iCs/>
                <w:color w:val="000000"/>
                <w:sz w:val="20"/>
                <w:szCs w:val="20"/>
              </w:rPr>
              <w:t>CAPSTONE_011V</w:t>
            </w:r>
          </w:p>
        </w:tc>
      </w:tr>
      <w:tr>
        <w:tc>
          <w:tcPr>
            <w:tcW w:type="dxa" w:w="25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Docente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0"/>
                <w:iCs/>
                <w:color w:val="000000"/>
                <w:sz w:val="20"/>
                <w:szCs w:val="20"/>
              </w:rPr>
              <w:t>Fernando Herrera</w:t>
            </w:r>
          </w:p>
        </w:tc>
      </w:tr>
      <w:tr>
        <w:tc>
          <w:tcPr>
            <w:tcW w:type="dxa" w:w="25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Integrantes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0"/>
                <w:iCs/>
                <w:color w:val="000000"/>
                <w:sz w:val="20"/>
                <w:szCs w:val="20"/>
              </w:rPr>
              <w:t>Yerko Rosales (Jefe de Proyecto, Analista y Diseño UX/UI) · Jonathan Ojeda (Desarrollo Backend y Base de Datos)</w:t>
            </w:r>
          </w:p>
        </w:tc>
      </w:tr>
      <w:tr>
        <w:tc>
          <w:tcPr>
            <w:tcW w:type="dxa" w:w="25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Fecha de entrega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0"/>
                <w:iCs/>
                <w:color w:val="000000"/>
                <w:sz w:val="20"/>
                <w:szCs w:val="20"/>
              </w:rPr>
              <w:t>18 de octubre de 2026 (entrega Fase 2)</w:t>
            </w:r>
          </w:p>
        </w:tc>
      </w:tr>
      <w:tr>
        <w:tc>
          <w:tcPr>
            <w:tcW w:type="dxa" w:w="25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Versión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0"/>
                <w:iCs w:val="false"/>
                <w:color w:val="000000"/>
                <w:sz w:val="20"/>
                <w:szCs w:val="20"/>
              </w:rPr>
              <w:t>1.0</w:t>
            </w:r>
          </w:p>
        </w:tc>
      </w:tr>
    </w:tbl>
    <w:p>
      <w:pPr>
        <w:pBdr>
          <w:left w:val="single" w:sz="18" w:space="6" w:color="2E74B5"/>
        </w:pBdr>
        <w:shd w:val="clear" w:color="auto" w:fill="EAF1FB"/>
        <w:spacing w:before="80" w:after="140" w:line="264" w:lineRule="auto"/>
        <w:ind w:left="120" w:right="120"/>
      </w:pPr>
      <w:r>
        <w:rPr>
          <w:rFonts w:ascii="Arial" w:hAnsi="Arial" w:cs="Arial" w:eastAsia="Arial"/>
          <w:b/>
          <w:bCs/>
          <w:sz w:val="21"/>
          <w:szCs w:val="21"/>
        </w:rPr>
        <w:t xml:space="preserve">Nota: </w:t>
      </w:r>
      <w:r>
        <w:rPr>
          <w:rFonts w:ascii="Arial" w:hAnsi="Arial" w:cs="Arial" w:eastAsia="Arial"/>
          <w:sz w:val="21"/>
          <w:szCs w:val="21"/>
        </w:rPr>
        <w:t>Texto listo para publicar. Antes de publicar se deben completar los campos marcados [POR COMPLETAR] (razón social, RUT de la empresa y correo de contacto) y, de forma recomendada, obtener revisión de un abogado.</w:t>
      </w:r>
    </w:p>
    <w:p>
      <w:pPr>
        <w:pStyle w:val="Heading1"/>
        <w:keepNext/>
        <w:spacing w:before="360" w:after="160"/>
      </w:pPr>
      <w:r>
        <w:rPr>
          <w:rFonts w:ascii="Arial" w:hAnsi="Arial" w:cs="Arial" w:eastAsia="Arial"/>
          <w:b/>
          <w:bCs/>
          <w:color w:val="1F3864"/>
          <w:sz w:val="28"/>
          <w:szCs w:val="28"/>
        </w:rPr>
        <w:t>Parte I — Política de Privacidad (versión 1.0)</w:t>
      </w:r>
    </w:p>
    <w:p>
      <w:pPr>
        <w:spacing w:before="0" w:after="120" w:line="276" w:lineRule="auto"/>
        <w:jc w:val="both"/>
      </w:pPr>
      <w:r>
        <w:rPr>
          <w:rFonts w:ascii="Arial" w:hAnsi="Arial" w:cs="Arial" w:eastAsia="Arial"/>
          <w:i/>
          <w:iCs/>
          <w:sz w:val="22"/>
          <w:szCs w:val="22"/>
        </w:rPr>
        <w:t>Vigente desde: [fecha de lanzamiento, POR COMPLETAR] · Versión 1.0</w:t>
      </w:r>
    </w:p>
    <w:p>
      <w:pPr>
        <w:pStyle w:val="Heading2"/>
        <w:keepNext/>
        <w:spacing w:before="220" w:after="120"/>
      </w:pPr>
      <w:r>
        <w:rPr>
          <w:rFonts w:ascii="Arial" w:hAnsi="Arial" w:cs="Arial" w:eastAsia="Arial"/>
          <w:b/>
          <w:bCs/>
          <w:color w:val="2E74B5"/>
          <w:sz w:val="24"/>
          <w:szCs w:val="24"/>
        </w:rPr>
        <w:t>1. Responsable del tratamiento</w:t>
      </w:r>
    </w:p>
    <w:p>
      <w:pPr>
        <w:spacing w:before="0" w:after="120" w:line="276" w:lineRule="auto"/>
        <w:jc w:val="both"/>
      </w:pPr>
      <w:r>
        <w:rPr>
          <w:rFonts w:ascii="Arial" w:hAnsi="Arial" w:cs="Arial" w:eastAsia="Arial"/>
          <w:sz w:val="22"/>
          <w:szCs w:val="22"/>
        </w:rPr>
        <w:t>Barbería Big-Boys — [razón social, POR COMPLETAR], RUT [POR COMPLETAR], con domicilio en 21 de Mayo 4566, Peñaflor, Región Metropolitana (casa matriz). Contacto para privacidad: [correo, POR COMPLETAR], o desde el módulo «Mis datos» de la web y la app.</w:t>
      </w:r>
    </w:p>
    <w:p>
      <w:pPr>
        <w:pStyle w:val="Heading2"/>
        <w:keepNext/>
        <w:spacing w:before="220" w:after="120"/>
      </w:pPr>
      <w:r>
        <w:rPr>
          <w:rFonts w:ascii="Arial" w:hAnsi="Arial" w:cs="Arial" w:eastAsia="Arial"/>
          <w:b/>
          <w:bCs/>
          <w:color w:val="2E74B5"/>
          <w:sz w:val="24"/>
          <w:szCs w:val="24"/>
        </w:rPr>
        <w:t>2. Qué datos tratamos</w:t>
      </w:r>
    </w:p>
    <w:p>
      <w:pPr>
        <w:numPr>
          <w:ilvl w:val="0"/>
          <w:numId w:val="1"/>
        </w:numPr>
        <w:spacing w:before="0" w:after="60" w:line="264" w:lineRule="auto"/>
        <w:ind w:left="540" w:hanging="270"/>
      </w:pPr>
      <w:r>
        <w:rPr>
          <w:rFonts w:ascii="Arial" w:hAnsi="Arial" w:cs="Arial" w:eastAsia="Arial"/>
          <w:b/>
          <w:bCs/>
          <w:sz w:val="22"/>
          <w:szCs w:val="22"/>
        </w:rPr>
        <w:t>Si creas una cuenta</w:t>
      </w:r>
      <w:r>
        <w:rPr>
          <w:rFonts w:ascii="Arial" w:hAnsi="Arial" w:cs="Arial" w:eastAsia="Arial"/>
          <w:sz w:val="22"/>
          <w:szCs w:val="22"/>
        </w:rPr>
        <w:t>: nombre, apellido (opcional), correo electrónico, teléfono (opcional) y contraseña (guardada solo de forma cifrada mediante hash).</w:t>
      </w:r>
    </w:p>
    <w:p>
      <w:pPr>
        <w:numPr>
          <w:ilvl w:val="0"/>
          <w:numId w:val="1"/>
        </w:numPr>
        <w:spacing w:before="0" w:after="60" w:line="264" w:lineRule="auto"/>
        <w:ind w:left="540" w:hanging="270"/>
      </w:pPr>
      <w:r>
        <w:rPr>
          <w:rFonts w:ascii="Arial" w:hAnsi="Arial" w:cs="Arial" w:eastAsia="Arial"/>
          <w:b/>
          <w:bCs/>
          <w:sz w:val="22"/>
          <w:szCs w:val="22"/>
        </w:rPr>
        <w:t>Si reservas como invitado</w:t>
      </w:r>
      <w:r>
        <w:rPr>
          <w:rFonts w:ascii="Arial" w:hAnsi="Arial" w:cs="Arial" w:eastAsia="Arial"/>
          <w:sz w:val="22"/>
          <w:szCs w:val="22"/>
        </w:rPr>
        <w:t>: nombre y teléfono, y correo si deseas recibir el comprobante.</w:t>
      </w:r>
    </w:p>
    <w:p>
      <w:pPr>
        <w:numPr>
          <w:ilvl w:val="0"/>
          <w:numId w:val="1"/>
        </w:numPr>
        <w:spacing w:before="0" w:after="60" w:line="264" w:lineRule="auto"/>
        <w:ind w:left="540" w:hanging="270"/>
      </w:pPr>
      <w:r>
        <w:rPr>
          <w:rFonts w:ascii="Arial" w:hAnsi="Arial" w:cs="Arial" w:eastAsia="Arial"/>
          <w:b/>
          <w:bCs/>
          <w:sz w:val="22"/>
          <w:szCs w:val="22"/>
        </w:rPr>
        <w:t>Tus reservas y atenciones</w:t>
      </w:r>
      <w:r>
        <w:rPr>
          <w:rFonts w:ascii="Arial" w:hAnsi="Arial" w:cs="Arial" w:eastAsia="Arial"/>
          <w:sz w:val="22"/>
          <w:szCs w:val="22"/>
        </w:rPr>
        <w:t>: sucursal, barbero, servicio, fecha, monto, abono y estado.</w:t>
      </w:r>
    </w:p>
    <w:p>
      <w:pPr>
        <w:numPr>
          <w:ilvl w:val="0"/>
          <w:numId w:val="1"/>
        </w:numPr>
        <w:spacing w:before="0" w:after="60" w:line="264" w:lineRule="auto"/>
        <w:ind w:left="540" w:hanging="270"/>
      </w:pPr>
      <w:r>
        <w:rPr>
          <w:rFonts w:ascii="Arial" w:hAnsi="Arial" w:cs="Arial" w:eastAsia="Arial"/>
          <w:b/>
          <w:bCs/>
          <w:sz w:val="22"/>
          <w:szCs w:val="22"/>
        </w:rPr>
        <w:t>Pago del abono</w:t>
      </w:r>
      <w:r>
        <w:rPr>
          <w:rFonts w:ascii="Arial" w:hAnsi="Arial" w:cs="Arial" w:eastAsia="Arial"/>
          <w:sz w:val="22"/>
          <w:szCs w:val="22"/>
        </w:rPr>
        <w:t xml:space="preserve">: solo el identificador de la transacción, el monto y su estado. </w:t>
      </w:r>
      <w:r>
        <w:rPr>
          <w:rFonts w:ascii="Arial" w:hAnsi="Arial" w:cs="Arial" w:eastAsia="Arial"/>
          <w:b/>
          <w:bCs/>
          <w:sz w:val="22"/>
          <w:szCs w:val="22"/>
        </w:rPr>
        <w:t>No recibimos ni guardamos los datos de tu tarjeta</w:t>
      </w:r>
      <w:r>
        <w:rPr>
          <w:rFonts w:ascii="Arial" w:hAnsi="Arial" w:cs="Arial" w:eastAsia="Arial"/>
          <w:sz w:val="22"/>
          <w:szCs w:val="22"/>
        </w:rPr>
        <w:t>: el pago lo procesa la pasarela (Transbank Webpay Plus o Mercado Pago).</w:t>
      </w:r>
    </w:p>
    <w:p>
      <w:pPr>
        <w:numPr>
          <w:ilvl w:val="0"/>
          <w:numId w:val="1"/>
        </w:numPr>
        <w:spacing w:before="0" w:after="60" w:line="264" w:lineRule="auto"/>
        <w:ind w:left="540" w:hanging="270"/>
      </w:pPr>
      <w:r>
        <w:rPr>
          <w:rFonts w:ascii="Arial" w:hAnsi="Arial" w:cs="Arial" w:eastAsia="Arial"/>
          <w:b/>
          <w:bCs/>
          <w:sz w:val="22"/>
          <w:szCs w:val="22"/>
        </w:rPr>
        <w:t>Datos técnicos de seguridad</w:t>
      </w:r>
      <w:r>
        <w:rPr>
          <w:rFonts w:ascii="Arial" w:hAnsi="Arial" w:cs="Arial" w:eastAsia="Arial"/>
          <w:sz w:val="22"/>
          <w:szCs w:val="22"/>
        </w:rPr>
        <w:t>: registro de accesos y dirección IP.</w:t>
      </w:r>
    </w:p>
    <w:p>
      <w:pPr>
        <w:numPr>
          <w:ilvl w:val="0"/>
          <w:numId w:val="1"/>
        </w:numPr>
        <w:spacing w:before="0" w:after="60" w:line="264" w:lineRule="auto"/>
        <w:ind w:left="540" w:hanging="270"/>
      </w:pPr>
      <w:r>
        <w:rPr>
          <w:rFonts w:ascii="Arial" w:hAnsi="Arial" w:cs="Arial" w:eastAsia="Arial"/>
          <w:b/>
          <w:bCs/>
          <w:sz w:val="22"/>
          <w:szCs w:val="22"/>
        </w:rPr>
        <w:t>No solicitamos RUT ni datos sensibles</w:t>
      </w:r>
      <w:r>
        <w:rPr>
          <w:rFonts w:ascii="Arial" w:hAnsi="Arial" w:cs="Arial" w:eastAsia="Arial"/>
          <w:sz w:val="22"/>
          <w:szCs w:val="22"/>
        </w:rPr>
        <w:t xml:space="preserve"> (por ejemplo, de salud).</w:t>
      </w:r>
    </w:p>
    <w:p>
      <w:pPr>
        <w:pStyle w:val="Heading2"/>
        <w:keepNext/>
        <w:spacing w:before="220" w:after="120"/>
      </w:pPr>
      <w:r>
        <w:rPr>
          <w:rFonts w:ascii="Arial" w:hAnsi="Arial" w:cs="Arial" w:eastAsia="Arial"/>
          <w:b/>
          <w:bCs/>
          <w:color w:val="2E74B5"/>
          <w:sz w:val="24"/>
          <w:szCs w:val="24"/>
        </w:rPr>
        <w:t>3. Para qué usamos tus datos y con qué fundamento</w:t>
      </w:r>
    </w:p>
    <w:p>
      <w:pPr>
        <w:keepNext/>
        <w:spacing w:before="160" w:after="0"/>
      </w:pPr>
      <w:r>
        <w:rPr>
          <w:rFonts w:ascii="Arial" w:hAnsi="Arial" w:cs="Arial" w:eastAsia="Arial"/>
          <w:b/>
          <w:bCs/>
          <w:sz w:val="21"/>
          <w:szCs w:val="21"/>
        </w:rPr>
        <w:t>Tabla 1</w:t>
      </w:r>
    </w:p>
    <w:p>
      <w:pPr>
        <w:keepNext/>
        <w:spacing w:before="0" w:after="80"/>
      </w:pPr>
      <w:r>
        <w:rPr>
          <w:rFonts w:ascii="Arial" w:hAnsi="Arial" w:cs="Arial" w:eastAsia="Arial"/>
          <w:i/>
          <w:iCs/>
          <w:sz w:val="21"/>
          <w:szCs w:val="21"/>
        </w:rPr>
        <w:t>Para qué usamos tus datos y con qué fundamento</w:t>
      </w:r>
    </w:p>
    <w:tbl>
      <w:tblPr>
        <w:tblW w:w="9500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firstColumn="1" w:firstRow="1" w:lastColumn="0" w:lastRow="0" w:noHBand="0" w:noVBand="1" w:val="04A0"/>
      </w:tblPr>
      <w:tblGrid>
        <w:gridCol w:w="6175"/>
        <w:gridCol w:w="3325"/>
      </w:tblGrid>
      <w:tr>
        <w:trPr>
          <w:tblHeader/>
        </w:trPr>
        <w:tc>
          <w:tcPr>
            <w:tcW w:w="6175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bCs/>
                <w:color w:val="FFFFFF"/>
                <w:sz w:val="18"/>
                <w:szCs w:val="18"/>
              </w:rPr>
              <w:t>Finalidad</w:t>
            </w:r>
          </w:p>
        </w:tc>
        <w:tc>
          <w:tcPr>
            <w:tcW w:w="3325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bCs/>
                <w:color w:val="FFFFFF"/>
                <w:sz w:val="18"/>
                <w:szCs w:val="18"/>
              </w:rPr>
              <w:t>Fundamento</w:t>
            </w:r>
          </w:p>
        </w:tc>
      </w:tr>
      <w:tr>
        <w:trPr>
          <w:cantSplit/>
        </w:trPr>
        <w:tc>
          <w:tcPr>
            <w:tcW w:w="617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Crear y administrar tu cuenta, agendar, confirmar, recordar y gestionar tus citas</w:t>
            </w:r>
          </w:p>
        </w:tc>
        <w:tc>
          <w:tcPr>
            <w:tcW w:w="332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Ejecución del servicio que solicitas</w:t>
            </w:r>
          </w:p>
        </w:tc>
      </w:tr>
      <w:tr>
        <w:trPr>
          <w:cantSplit/>
        </w:trPr>
        <w:tc>
          <w:tcPr>
            <w:tcW w:w="6175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Cobrar el abono de reserva y aplicar las reglas de reagendamiento y cancelación</w:t>
            </w:r>
          </w:p>
        </w:tc>
        <w:tc>
          <w:tcPr>
            <w:tcW w:w="3325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Ejecución del servicio</w:t>
            </w:r>
          </w:p>
        </w:tc>
      </w:tr>
      <w:tr>
        <w:trPr>
          <w:cantSplit/>
        </w:trPr>
        <w:tc>
          <w:tcPr>
            <w:tcW w:w="617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Registrar la atención y el monto cobrado (contabilidad del local)</w:t>
            </w:r>
          </w:p>
        </w:tc>
        <w:tc>
          <w:tcPr>
            <w:tcW w:w="332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Ejecución del servicio y obligaciones legales</w:t>
            </w:r>
          </w:p>
        </w:tc>
      </w:tr>
      <w:tr>
        <w:trPr>
          <w:cantSplit/>
        </w:trPr>
        <w:tc>
          <w:tcPr>
            <w:tcW w:w="6175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Enviarte promociones y beneficios</w:t>
            </w:r>
          </w:p>
        </w:tc>
        <w:tc>
          <w:tcPr>
            <w:tcW w:w="3325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Tu consentimiento, separado y opcional; puedes retirarlo cuando quieras</w:t>
            </w:r>
          </w:p>
        </w:tc>
      </w:tr>
      <w:tr>
        <w:trPr>
          <w:cantSplit/>
        </w:trPr>
        <w:tc>
          <w:tcPr>
            <w:tcW w:w="617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Proteger la seguridad del sistema y prevenir fraudes</w:t>
            </w:r>
          </w:p>
        </w:tc>
        <w:tc>
          <w:tcPr>
            <w:tcW w:w="332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Interés legítimo y obligaciones legales</w:t>
            </w:r>
          </w:p>
        </w:tc>
      </w:tr>
      <w:tr>
        <w:trPr>
          <w:cantSplit/>
        </w:trPr>
        <w:tc>
          <w:tcPr>
            <w:tcW w:w="6175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Atender tus solicitudes sobre tus datos</w:t>
            </w:r>
          </w:p>
        </w:tc>
        <w:tc>
          <w:tcPr>
            <w:tcW w:w="3325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Obligación legal</w:t>
            </w:r>
          </w:p>
        </w:tc>
      </w:tr>
    </w:tbl>
    <w:p>
      <w:pPr>
        <w:spacing w:before="0" w:after="60"/>
      </w:pPr>
    </w:p>
    <w:p>
      <w:pPr>
        <w:pStyle w:val="Heading2"/>
        <w:keepNext/>
        <w:spacing w:before="220" w:after="120"/>
      </w:pPr>
      <w:r>
        <w:rPr>
          <w:rFonts w:ascii="Arial" w:hAnsi="Arial" w:cs="Arial" w:eastAsia="Arial"/>
          <w:b/>
          <w:bCs/>
          <w:color w:val="2E74B5"/>
          <w:sz w:val="24"/>
          <w:szCs w:val="24"/>
        </w:rPr>
        <w:t>4. Con quién compartimos tus datos</w:t>
      </w:r>
    </w:p>
    <w:p>
      <w:pPr>
        <w:spacing w:before="0" w:after="120" w:line="276" w:lineRule="auto"/>
        <w:jc w:val="both"/>
      </w:pPr>
      <w:r>
        <w:rPr>
          <w:rFonts w:ascii="Arial" w:hAnsi="Arial" w:cs="Arial" w:eastAsia="Arial"/>
          <w:sz w:val="22"/>
          <w:szCs w:val="22"/>
        </w:rPr>
        <w:t>Solo con proveedores que nos prestan servicios y actúan por nuestra cuenta (encargados de tratamiento), bajo contrato y con obligaciones de confidencialidad y seguridad: la pasarela de pago, el proveedor de alojamiento del sistema (Supabase, con servidores en Estados Unidos) y el servicio de envío de correos. No vendemos ni cedemos tus datos. Tus datos se alojan fuera de Chile, en servidores de Supabase ubicados en Estados Unidos (región us-west-2, Oregón). Esta transferencia internacional se realiza con las garantías contractuales del proveedor, que aseguran un nivel adecuado de protección, conforme a la Ley N° 21.719.</w:t>
      </w:r>
    </w:p>
    <w:p>
      <w:pPr>
        <w:pStyle w:val="Heading2"/>
        <w:keepNext/>
        <w:spacing w:before="220" w:after="120"/>
      </w:pPr>
      <w:r>
        <w:rPr>
          <w:rFonts w:ascii="Arial" w:hAnsi="Arial" w:cs="Arial" w:eastAsia="Arial"/>
          <w:b/>
          <w:bCs/>
          <w:color w:val="2E74B5"/>
          <w:sz w:val="24"/>
          <w:szCs w:val="24"/>
        </w:rPr>
        <w:t>5. Por cuánto tiempo los conservamos</w:t>
      </w:r>
    </w:p>
    <w:p>
      <w:pPr>
        <w:numPr>
          <w:ilvl w:val="0"/>
          <w:numId w:val="1"/>
        </w:numPr>
        <w:spacing w:before="0" w:after="60" w:line="264" w:lineRule="auto"/>
        <w:ind w:left="540" w:hanging="270"/>
      </w:pPr>
      <w:r>
        <w:rPr>
          <w:rFonts w:ascii="Arial" w:hAnsi="Arial" w:cs="Arial" w:eastAsia="Arial"/>
          <w:sz w:val="22"/>
          <w:szCs w:val="22"/>
        </w:rPr>
        <w:t>Datos de tu cuenta: mientras esté activa. Si no la usas durante 24 meses, te avisaremos y luego la anonimizaremos.</w:t>
      </w:r>
    </w:p>
    <w:p>
      <w:pPr>
        <w:numPr>
          <w:ilvl w:val="0"/>
          <w:numId w:val="1"/>
        </w:numPr>
        <w:spacing w:before="0" w:after="60" w:line="264" w:lineRule="auto"/>
        <w:ind w:left="540" w:hanging="270"/>
      </w:pPr>
      <w:r>
        <w:rPr>
          <w:rFonts w:ascii="Arial" w:hAnsi="Arial" w:cs="Arial" w:eastAsia="Arial"/>
          <w:sz w:val="22"/>
          <w:szCs w:val="22"/>
        </w:rPr>
        <w:t>Datos de invitado: 12 meses desde tu última reserva.</w:t>
      </w:r>
    </w:p>
    <w:p>
      <w:pPr>
        <w:numPr>
          <w:ilvl w:val="0"/>
          <w:numId w:val="1"/>
        </w:numPr>
        <w:spacing w:before="0" w:after="60" w:line="264" w:lineRule="auto"/>
        <w:ind w:left="540" w:hanging="270"/>
      </w:pPr>
      <w:r>
        <w:rPr>
          <w:rFonts w:ascii="Arial" w:hAnsi="Arial" w:cs="Arial" w:eastAsia="Arial"/>
          <w:sz w:val="22"/>
          <w:szCs w:val="22"/>
        </w:rPr>
        <w:t>Registros de reservas, atenciones y pagos: 6 años por obligaciones contables y tributarias, sin vincularlos a tu identidad si eliminas tu cuenta.</w:t>
      </w:r>
    </w:p>
    <w:p>
      <w:pPr>
        <w:numPr>
          <w:ilvl w:val="0"/>
          <w:numId w:val="1"/>
        </w:numPr>
        <w:spacing w:before="0" w:after="60" w:line="264" w:lineRule="auto"/>
        <w:ind w:left="540" w:hanging="270"/>
      </w:pPr>
      <w:r>
        <w:rPr>
          <w:rFonts w:ascii="Arial" w:hAnsi="Arial" w:cs="Arial" w:eastAsia="Arial"/>
          <w:sz w:val="22"/>
          <w:szCs w:val="22"/>
        </w:rPr>
        <w:t>Registros de seguridad: 24 meses.</w:t>
      </w:r>
    </w:p>
    <w:p>
      <w:pPr>
        <w:pStyle w:val="Heading2"/>
        <w:keepNext/>
        <w:spacing w:before="220" w:after="120"/>
      </w:pPr>
      <w:r>
        <w:rPr>
          <w:rFonts w:ascii="Arial" w:hAnsi="Arial" w:cs="Arial" w:eastAsia="Arial"/>
          <w:b/>
          <w:bCs/>
          <w:color w:val="2E74B5"/>
          <w:sz w:val="24"/>
          <w:szCs w:val="24"/>
        </w:rPr>
        <w:t>6. Tus derechos</w:t>
      </w:r>
    </w:p>
    <w:p>
      <w:pPr>
        <w:spacing w:before="0" w:after="120" w:line="276" w:lineRule="auto"/>
        <w:jc w:val="both"/>
      </w:pPr>
      <w:r>
        <w:rPr>
          <w:rFonts w:ascii="Arial" w:hAnsi="Arial" w:cs="Arial" w:eastAsia="Arial"/>
          <w:sz w:val="22"/>
          <w:szCs w:val="22"/>
        </w:rPr>
        <w:t xml:space="preserve">Puedes ejercer en cualquier momento, de forma gratuita, tus derechos de </w:t>
      </w:r>
      <w:r>
        <w:rPr>
          <w:rFonts w:ascii="Arial" w:hAnsi="Arial" w:cs="Arial" w:eastAsia="Arial"/>
          <w:b/>
          <w:bCs/>
          <w:sz w:val="22"/>
          <w:szCs w:val="22"/>
        </w:rPr>
        <w:t>acceso, rectificación, supresión, oposición, portabilidad y bloqueo</w:t>
      </w:r>
      <w:r>
        <w:rPr>
          <w:rFonts w:ascii="Arial" w:hAnsi="Arial" w:cs="Arial" w:eastAsia="Arial"/>
          <w:sz w:val="22"/>
          <w:szCs w:val="22"/>
        </w:rPr>
        <w:t xml:space="preserve"> desde el módulo «Mis datos» o escribiendo al contacto de privacidad. Te entregaremos un folio y responderemos dentro de </w:t>
      </w:r>
      <w:r>
        <w:rPr>
          <w:rFonts w:ascii="Arial" w:hAnsi="Arial" w:cs="Arial" w:eastAsia="Arial"/>
          <w:b/>
          <w:bCs/>
          <w:sz w:val="22"/>
          <w:szCs w:val="22"/>
        </w:rPr>
        <w:t>30 días corridos</w:t>
      </w:r>
      <w:r>
        <w:rPr>
          <w:rFonts w:ascii="Arial" w:hAnsi="Arial" w:cs="Arial" w:eastAsia="Arial"/>
          <w:sz w:val="22"/>
          <w:szCs w:val="22"/>
        </w:rPr>
        <w:t xml:space="preserve">, plazo que podremos extender una sola vez por igual período, informándote el motivo. Si no estás conforme con la respuesta, puedes reclamar ante la </w:t>
      </w:r>
      <w:r>
        <w:rPr>
          <w:rFonts w:ascii="Arial" w:hAnsi="Arial" w:cs="Arial" w:eastAsia="Arial"/>
          <w:b/>
          <w:bCs/>
          <w:sz w:val="22"/>
          <w:szCs w:val="22"/>
        </w:rPr>
        <w:t>Agencia de Protección de Datos Personales</w:t>
      </w:r>
      <w:r>
        <w:rPr>
          <w:rFonts w:ascii="Arial" w:hAnsi="Arial" w:cs="Arial" w:eastAsia="Arial"/>
          <w:sz w:val="22"/>
          <w:szCs w:val="22"/>
        </w:rPr>
        <w:t>.</w:t>
      </w:r>
    </w:p>
    <w:p>
      <w:pPr>
        <w:pStyle w:val="Heading2"/>
        <w:keepNext/>
        <w:spacing w:before="220" w:after="120"/>
      </w:pPr>
      <w:r>
        <w:rPr>
          <w:rFonts w:ascii="Arial" w:hAnsi="Arial" w:cs="Arial" w:eastAsia="Arial"/>
          <w:b/>
          <w:bCs/>
          <w:color w:val="2E74B5"/>
          <w:sz w:val="24"/>
          <w:szCs w:val="24"/>
        </w:rPr>
        <w:t>7. Seguridad</w:t>
      </w:r>
    </w:p>
    <w:p>
      <w:pPr>
        <w:spacing w:before="0" w:after="120" w:line="276" w:lineRule="auto"/>
        <w:jc w:val="both"/>
      </w:pPr>
      <w:r>
        <w:rPr>
          <w:rFonts w:ascii="Arial" w:hAnsi="Arial" w:cs="Arial" w:eastAsia="Arial"/>
          <w:sz w:val="22"/>
          <w:szCs w:val="22"/>
        </w:rPr>
        <w:t>Usamos conexiones cifradas (HTTPS), cifrado de la base de datos y de los respaldos, contraseñas protegidas con hash, accesos por rol y registro de auditoría. Si ocurriera un incidente que afecte tus datos, lo notificaremos a la autoridad y, cuando corresponda, a ti, sin dilaciones indebidas.</w:t>
      </w:r>
    </w:p>
    <w:p>
      <w:pPr>
        <w:pStyle w:val="Heading2"/>
        <w:keepNext/>
        <w:spacing w:before="220" w:after="120"/>
      </w:pPr>
      <w:r>
        <w:rPr>
          <w:rFonts w:ascii="Arial" w:hAnsi="Arial" w:cs="Arial" w:eastAsia="Arial"/>
          <w:b/>
          <w:bCs/>
          <w:color w:val="2E74B5"/>
          <w:sz w:val="24"/>
          <w:szCs w:val="24"/>
        </w:rPr>
        <w:t>8. Menores de edad</w:t>
      </w:r>
    </w:p>
    <w:p>
      <w:pPr>
        <w:spacing w:before="0" w:after="120" w:line="276" w:lineRule="auto"/>
        <w:jc w:val="both"/>
      </w:pPr>
      <w:r>
        <w:rPr>
          <w:rFonts w:ascii="Arial" w:hAnsi="Arial" w:cs="Arial" w:eastAsia="Arial"/>
          <w:sz w:val="22"/>
          <w:szCs w:val="22"/>
        </w:rPr>
        <w:t>El servicio está dirigido a personas mayores de 14 años. Los menores de 14 años solo pueden reservar a través de su padre, madre o representante legal.</w:t>
      </w:r>
    </w:p>
    <w:p>
      <w:pPr>
        <w:pBdr>
          <w:left w:val="single" w:sz="18" w:space="6" w:color="C9A227"/>
        </w:pBdr>
        <w:shd w:val="clear" w:color="auto" w:fill="FFF4D6"/>
        <w:spacing w:before="80" w:after="140" w:line="264" w:lineRule="auto"/>
        <w:ind w:left="120" w:right="120"/>
      </w:pPr>
      <w:r>
        <w:rPr>
          <w:rFonts w:ascii="Arial" w:hAnsi="Arial" w:cs="Arial" w:eastAsia="Arial"/>
          <w:b/>
          <w:bCs/>
          <w:sz w:val="21"/>
          <w:szCs w:val="21"/>
        </w:rPr>
        <w:t xml:space="preserve">SUPUESTO — por validar: </w:t>
      </w:r>
      <w:r>
        <w:rPr>
          <w:rFonts w:ascii="Arial" w:hAnsi="Arial" w:cs="Arial" w:eastAsia="Arial"/>
          <w:sz w:val="21"/>
          <w:szCs w:val="21"/>
        </w:rPr>
        <w:t>La edad mínima (14 años) se propone en coherencia con el tratamiento especial de datos de niños, niñas y adolescentes en la Ley N° 21.719; validar con asesoría legal.</w:t>
      </w:r>
    </w:p>
    <w:p>
      <w:pPr>
        <w:pStyle w:val="Heading2"/>
        <w:keepNext/>
        <w:spacing w:before="220" w:after="120"/>
      </w:pPr>
      <w:r>
        <w:rPr>
          <w:rFonts w:ascii="Arial" w:hAnsi="Arial" w:cs="Arial" w:eastAsia="Arial"/>
          <w:b/>
          <w:bCs/>
          <w:color w:val="2E74B5"/>
          <w:sz w:val="24"/>
          <w:szCs w:val="24"/>
        </w:rPr>
        <w:t>9. Cambios a esta política</w:t>
      </w:r>
    </w:p>
    <w:p>
      <w:pPr>
        <w:spacing w:before="0" w:after="120" w:line="276" w:lineRule="auto"/>
        <w:jc w:val="both"/>
      </w:pPr>
      <w:r>
        <w:rPr>
          <w:rFonts w:ascii="Arial" w:hAnsi="Arial" w:cs="Arial" w:eastAsia="Arial"/>
          <w:sz w:val="22"/>
          <w:szCs w:val="22"/>
        </w:rPr>
        <w:t>Publicaremos cada nueva versión con su fecha. Si el cambio es relevante, te pediremos aceptarla nuevamente al ingresar.</w:t>
      </w:r>
    </w:p>
    <w:p>
      <w:pPr>
        <w:pStyle w:val="Heading1"/>
        <w:keepNext/>
        <w:pageBreakBefore/>
        <w:spacing w:before="360" w:after="160"/>
      </w:pPr>
      <w:r>
        <w:rPr>
          <w:rFonts w:ascii="Arial" w:hAnsi="Arial" w:cs="Arial" w:eastAsia="Arial"/>
          <w:b/>
          <w:bCs/>
          <w:color w:val="1F3864"/>
          <w:sz w:val="28"/>
          <w:szCs w:val="28"/>
        </w:rPr>
        <w:t>Parte II — Términos y Condiciones de Reserva (versión 1.0)</w:t>
      </w:r>
    </w:p>
    <w:p>
      <w:pPr>
        <w:pStyle w:val="Heading2"/>
        <w:keepNext/>
        <w:spacing w:before="220" w:after="120"/>
      </w:pPr>
      <w:r>
        <w:rPr>
          <w:rFonts w:ascii="Arial" w:hAnsi="Arial" w:cs="Arial" w:eastAsia="Arial"/>
          <w:b/>
          <w:bCs/>
          <w:color w:val="2E74B5"/>
          <w:sz w:val="24"/>
          <w:szCs w:val="24"/>
        </w:rPr>
        <w:t>1. Objeto</w:t>
      </w:r>
    </w:p>
    <w:p>
      <w:pPr>
        <w:spacing w:before="0" w:after="120" w:line="276" w:lineRule="auto"/>
        <w:jc w:val="both"/>
      </w:pPr>
      <w:r>
        <w:rPr>
          <w:rFonts w:ascii="Arial" w:hAnsi="Arial" w:cs="Arial" w:eastAsia="Arial"/>
          <w:sz w:val="22"/>
          <w:szCs w:val="22"/>
        </w:rPr>
        <w:t>Estos términos regulan el uso de la web y la app de Barbería Big-Boys para reservar servicios en sus sucursales: Peñaflor – Sucursal 21 de Mayo (21 de Mayo 4566, Peñaflor), Peñaflor – Sucursal Alcalde Luis Araya Cereceda (Alcalde Luis Araya Cereceda 4387, Peñaflor) y Talagante (Boulevard del Centro, local 3, Talagante). La atención por orden de llegada se mantiene disponible en todas las sucursales.</w:t>
      </w:r>
    </w:p>
    <w:p>
      <w:pPr>
        <w:pStyle w:val="Heading2"/>
        <w:keepNext/>
        <w:spacing w:before="220" w:after="120"/>
      </w:pPr>
      <w:r>
        <w:rPr>
          <w:rFonts w:ascii="Arial" w:hAnsi="Arial" w:cs="Arial" w:eastAsia="Arial"/>
          <w:b/>
          <w:bCs/>
          <w:color w:val="2E74B5"/>
          <w:sz w:val="24"/>
          <w:szCs w:val="24"/>
        </w:rPr>
        <w:t>2. Abono de reserva</w:t>
      </w:r>
    </w:p>
    <w:p>
      <w:pPr>
        <w:numPr>
          <w:ilvl w:val="0"/>
          <w:numId w:val="1"/>
        </w:numPr>
        <w:spacing w:before="0" w:after="60" w:line="264" w:lineRule="auto"/>
        <w:ind w:left="540" w:hanging="270"/>
      </w:pPr>
      <w:r>
        <w:rPr>
          <w:rFonts w:ascii="Arial" w:hAnsi="Arial" w:cs="Arial" w:eastAsia="Arial"/>
          <w:sz w:val="22"/>
          <w:szCs w:val="22"/>
        </w:rPr>
        <w:t xml:space="preserve">Para asegurar tu cupo debes pagar un </w:t>
      </w:r>
      <w:r>
        <w:rPr>
          <w:rFonts w:ascii="Arial" w:hAnsi="Arial" w:cs="Arial" w:eastAsia="Arial"/>
          <w:b/>
          <w:bCs/>
          <w:sz w:val="22"/>
          <w:szCs w:val="22"/>
        </w:rPr>
        <w:t>abono de $3.000</w:t>
      </w:r>
      <w:r>
        <w:rPr>
          <w:rFonts w:ascii="Arial" w:hAnsi="Arial" w:cs="Arial" w:eastAsia="Arial"/>
          <w:sz w:val="22"/>
          <w:szCs w:val="22"/>
        </w:rPr>
        <w:t xml:space="preserve"> al reservar. Sin abono, la cita no queda tomada.</w:t>
      </w:r>
    </w:p>
    <w:p>
      <w:pPr>
        <w:numPr>
          <w:ilvl w:val="0"/>
          <w:numId w:val="1"/>
        </w:numPr>
        <w:spacing w:before="0" w:after="60" w:line="264" w:lineRule="auto"/>
        <w:ind w:left="540" w:hanging="270"/>
      </w:pPr>
      <w:r>
        <w:rPr>
          <w:rFonts w:ascii="Arial" w:hAnsi="Arial" w:cs="Arial" w:eastAsia="Arial"/>
          <w:sz w:val="22"/>
          <w:szCs w:val="22"/>
        </w:rPr>
        <w:t>Lavado, cejas y mascarillas faciales no se agendan en línea; puedes solicitarlos directamente en el local.</w:t>
      </w:r>
    </w:p>
    <w:p>
      <w:pPr>
        <w:numPr>
          <w:ilvl w:val="0"/>
          <w:numId w:val="1"/>
        </w:numPr>
        <w:spacing w:before="0" w:after="60" w:line="264" w:lineRule="auto"/>
        <w:ind w:left="540" w:hanging="270"/>
      </w:pPr>
      <w:r>
        <w:rPr>
          <w:rFonts w:ascii="Arial" w:hAnsi="Arial" w:cs="Arial" w:eastAsia="Arial"/>
          <w:sz w:val="22"/>
          <w:szCs w:val="22"/>
        </w:rPr>
        <w:t>Tienes 15 minutos para completar el pago; si no, el horario se libera.</w:t>
      </w:r>
    </w:p>
    <w:p>
      <w:pPr>
        <w:numPr>
          <w:ilvl w:val="0"/>
          <w:numId w:val="1"/>
        </w:numPr>
        <w:spacing w:before="0" w:after="60" w:line="264" w:lineRule="auto"/>
        <w:ind w:left="540" w:hanging="270"/>
      </w:pPr>
      <w:r>
        <w:rPr>
          <w:rFonts w:ascii="Arial" w:hAnsi="Arial" w:cs="Arial" w:eastAsia="Arial"/>
          <w:sz w:val="22"/>
          <w:szCs w:val="22"/>
        </w:rPr>
        <w:t xml:space="preserve">El abono </w:t>
      </w:r>
      <w:r>
        <w:rPr>
          <w:rFonts w:ascii="Arial" w:hAnsi="Arial" w:cs="Arial" w:eastAsia="Arial"/>
          <w:b/>
          <w:bCs/>
          <w:sz w:val="22"/>
          <w:szCs w:val="22"/>
        </w:rPr>
        <w:t>se descuenta del valor del servicio</w:t>
      </w:r>
      <w:r>
        <w:rPr>
          <w:rFonts w:ascii="Arial" w:hAnsi="Arial" w:cs="Arial" w:eastAsia="Arial"/>
          <w:sz w:val="22"/>
          <w:szCs w:val="22"/>
        </w:rPr>
        <w:t xml:space="preserve"> el día de tu atención.</w:t>
      </w:r>
    </w:p>
    <w:p>
      <w:pPr>
        <w:numPr>
          <w:ilvl w:val="0"/>
          <w:numId w:val="1"/>
        </w:numPr>
        <w:spacing w:before="0" w:after="60" w:line="264" w:lineRule="auto"/>
        <w:ind w:left="540" w:hanging="270"/>
      </w:pPr>
      <w:r>
        <w:rPr>
          <w:rFonts w:ascii="Arial" w:hAnsi="Arial" w:cs="Arial" w:eastAsia="Arial"/>
          <w:sz w:val="22"/>
          <w:szCs w:val="22"/>
        </w:rPr>
        <w:t>El monto del abono puede cambiar en el futuro; siempre se informará antes de pagar y no afecta reservas ya pagadas.</w:t>
      </w:r>
    </w:p>
    <w:p>
      <w:pPr>
        <w:pStyle w:val="Heading2"/>
        <w:keepNext/>
        <w:spacing w:before="220" w:after="120"/>
      </w:pPr>
      <w:r>
        <w:rPr>
          <w:rFonts w:ascii="Arial" w:hAnsi="Arial" w:cs="Arial" w:eastAsia="Arial"/>
          <w:b/>
          <w:bCs/>
          <w:color w:val="2E74B5"/>
          <w:sz w:val="24"/>
          <w:szCs w:val="24"/>
        </w:rPr>
        <w:t>3. Reagendamiento</w:t>
      </w:r>
    </w:p>
    <w:p>
      <w:pPr>
        <w:spacing w:before="0" w:after="120" w:line="276" w:lineRule="auto"/>
        <w:jc w:val="both"/>
      </w:pPr>
      <w:r>
        <w:rPr>
          <w:rFonts w:ascii="Arial" w:hAnsi="Arial" w:cs="Arial" w:eastAsia="Arial"/>
          <w:sz w:val="22"/>
          <w:szCs w:val="22"/>
        </w:rPr>
        <w:t xml:space="preserve">Puedes reagendar tu cita </w:t>
      </w:r>
      <w:r>
        <w:rPr>
          <w:rFonts w:ascii="Arial" w:hAnsi="Arial" w:cs="Arial" w:eastAsia="Arial"/>
          <w:b/>
          <w:bCs/>
          <w:sz w:val="22"/>
          <w:szCs w:val="22"/>
        </w:rPr>
        <w:t>con al menos 24 horas de anticipación</w:t>
      </w:r>
      <w:r>
        <w:rPr>
          <w:rFonts w:ascii="Arial" w:hAnsi="Arial" w:cs="Arial" w:eastAsia="Arial"/>
          <w:sz w:val="22"/>
          <w:szCs w:val="22"/>
        </w:rPr>
        <w:t xml:space="preserve">, usando el mismo abono, </w:t>
      </w:r>
      <w:r>
        <w:rPr>
          <w:rFonts w:ascii="Arial" w:hAnsi="Arial" w:cs="Arial" w:eastAsia="Arial"/>
          <w:b/>
          <w:bCs/>
          <w:sz w:val="22"/>
          <w:szCs w:val="22"/>
        </w:rPr>
        <w:t>hasta 2 veces</w:t>
      </w:r>
      <w:r>
        <w:rPr>
          <w:rFonts w:ascii="Arial" w:hAnsi="Arial" w:cs="Arial" w:eastAsia="Arial"/>
          <w:sz w:val="22"/>
          <w:szCs w:val="22"/>
        </w:rPr>
        <w:t>.</w:t>
      </w:r>
    </w:p>
    <w:p>
      <w:pPr>
        <w:pStyle w:val="Heading2"/>
        <w:keepNext/>
        <w:spacing w:before="220" w:after="120"/>
      </w:pPr>
      <w:r>
        <w:rPr>
          <w:rFonts w:ascii="Arial" w:hAnsi="Arial" w:cs="Arial" w:eastAsia="Arial"/>
          <w:b/>
          <w:bCs/>
          <w:color w:val="2E74B5"/>
          <w:sz w:val="24"/>
          <w:szCs w:val="24"/>
        </w:rPr>
        <w:t>4. Cancelación e inasistencia</w:t>
      </w:r>
    </w:p>
    <w:p>
      <w:pPr>
        <w:numPr>
          <w:ilvl w:val="0"/>
          <w:numId w:val="1"/>
        </w:numPr>
        <w:spacing w:before="0" w:after="60" w:line="264" w:lineRule="auto"/>
        <w:ind w:left="540" w:hanging="270"/>
      </w:pPr>
      <w:r>
        <w:rPr>
          <w:rFonts w:ascii="Arial" w:hAnsi="Arial" w:cs="Arial" w:eastAsia="Arial"/>
          <w:sz w:val="22"/>
          <w:szCs w:val="22"/>
        </w:rPr>
        <w:t>Si cancelas con 24 horas o más de anticipación, tu abono queda como saldo a favor para reagendar.</w:t>
      </w:r>
    </w:p>
    <w:p>
      <w:pPr>
        <w:numPr>
          <w:ilvl w:val="0"/>
          <w:numId w:val="1"/>
        </w:numPr>
        <w:spacing w:before="0" w:after="60" w:line="264" w:lineRule="auto"/>
        <w:ind w:left="540" w:hanging="270"/>
      </w:pPr>
      <w:r>
        <w:rPr>
          <w:rFonts w:ascii="Arial" w:hAnsi="Arial" w:cs="Arial" w:eastAsia="Arial"/>
          <w:sz w:val="22"/>
          <w:szCs w:val="22"/>
        </w:rPr>
        <w:t xml:space="preserve">Si anulas dentro de las 24 horas previas a tu cita, o no asistes (tolerancia de 15 minutos), </w:t>
      </w:r>
      <w:r>
        <w:rPr>
          <w:rFonts w:ascii="Arial" w:hAnsi="Arial" w:cs="Arial" w:eastAsia="Arial"/>
          <w:b/>
          <w:bCs/>
          <w:sz w:val="22"/>
          <w:szCs w:val="22"/>
        </w:rPr>
        <w:t>pierdes el abono</w:t>
      </w:r>
      <w:r>
        <w:rPr>
          <w:rFonts w:ascii="Arial" w:hAnsi="Arial" w:cs="Arial" w:eastAsia="Arial"/>
          <w:sz w:val="22"/>
          <w:szCs w:val="22"/>
        </w:rPr>
        <w:t>.</w:t>
      </w:r>
    </w:p>
    <w:p>
      <w:pPr>
        <w:numPr>
          <w:ilvl w:val="0"/>
          <w:numId w:val="1"/>
        </w:numPr>
        <w:spacing w:before="0" w:after="60" w:line="264" w:lineRule="auto"/>
        <w:ind w:left="540" w:hanging="270"/>
      </w:pPr>
      <w:r>
        <w:rPr>
          <w:rFonts w:ascii="Arial" w:hAnsi="Arial" w:cs="Arial" w:eastAsia="Arial"/>
          <w:sz w:val="22"/>
          <w:szCs w:val="22"/>
        </w:rPr>
        <w:t>Si la barbería cancela tu cita, te devolvemos el 100% del abono.</w:t>
      </w:r>
    </w:p>
    <w:p>
      <w:pPr>
        <w:pBdr>
          <w:left w:val="single" w:sz="18" w:space="6" w:color="C9A227"/>
        </w:pBdr>
        <w:shd w:val="clear" w:color="auto" w:fill="FFF4D6"/>
        <w:spacing w:before="80" w:after="140" w:line="264" w:lineRule="auto"/>
        <w:ind w:left="120" w:right="120"/>
      </w:pPr>
      <w:r>
        <w:rPr>
          <w:rFonts w:ascii="Arial" w:hAnsi="Arial" w:cs="Arial" w:eastAsia="Arial"/>
          <w:b/>
          <w:bCs/>
          <w:sz w:val="21"/>
          <w:szCs w:val="21"/>
        </w:rPr>
        <w:t xml:space="preserve">SUPUESTO — por validar: </w:t>
      </w:r>
      <w:r>
        <w:rPr>
          <w:rFonts w:ascii="Arial" w:hAnsi="Arial" w:cs="Arial" w:eastAsia="Arial"/>
          <w:sz w:val="21"/>
          <w:szCs w:val="21"/>
        </w:rPr>
        <w:t>Las reglas de saldo a favor (cancelación ≥ 24 h) y la tolerancia de 15 minutos son supuestos S-13 y S-14: validar con el/la dueño/a antes de publicar.</w:t>
      </w:r>
    </w:p>
    <w:p>
      <w:pPr>
        <w:pStyle w:val="Heading2"/>
        <w:keepNext/>
        <w:spacing w:before="220" w:after="120"/>
      </w:pPr>
      <w:r>
        <w:rPr>
          <w:rFonts w:ascii="Arial" w:hAnsi="Arial" w:cs="Arial" w:eastAsia="Arial"/>
          <w:b/>
          <w:bCs/>
          <w:color w:val="2E74B5"/>
          <w:sz w:val="24"/>
          <w:szCs w:val="24"/>
        </w:rPr>
        <w:t>5. Reserva como invitado</w:t>
      </w:r>
    </w:p>
    <w:p>
      <w:pPr>
        <w:spacing w:before="0" w:after="120" w:line="276" w:lineRule="auto"/>
        <w:jc w:val="both"/>
      </w:pPr>
      <w:r>
        <w:rPr>
          <w:rFonts w:ascii="Arial" w:hAnsi="Arial" w:cs="Arial" w:eastAsia="Arial"/>
          <w:sz w:val="22"/>
          <w:szCs w:val="22"/>
        </w:rPr>
        <w:t>Puedes reservar sin crear cuenta entregando tu nombre y teléfono. Algunos beneficios (puntos, ruleta) requieren cuenta.</w:t>
      </w:r>
    </w:p>
    <w:p>
      <w:pPr>
        <w:pStyle w:val="Heading2"/>
        <w:keepNext/>
        <w:spacing w:before="220" w:after="120"/>
      </w:pPr>
      <w:r>
        <w:rPr>
          <w:rFonts w:ascii="Arial" w:hAnsi="Arial" w:cs="Arial" w:eastAsia="Arial"/>
          <w:b/>
          <w:bCs/>
          <w:color w:val="2E74B5"/>
          <w:sz w:val="24"/>
          <w:szCs w:val="24"/>
        </w:rPr>
        <w:t>6. Cuenta de usuario</w:t>
      </w:r>
    </w:p>
    <w:p>
      <w:pPr>
        <w:spacing w:before="0" w:after="120" w:line="276" w:lineRule="auto"/>
        <w:jc w:val="both"/>
      </w:pPr>
      <w:r>
        <w:rPr>
          <w:rFonts w:ascii="Arial" w:hAnsi="Arial" w:cs="Arial" w:eastAsia="Arial"/>
          <w:sz w:val="22"/>
          <w:szCs w:val="22"/>
        </w:rPr>
        <w:t>Eres responsable de mantener la confidencialidad de tu contraseña. Puedes eliminar tu cuenta cuando quieras desde «Mis datos».</w:t>
      </w:r>
    </w:p>
    <w:p>
      <w:pPr>
        <w:pStyle w:val="Heading2"/>
        <w:keepNext/>
        <w:spacing w:before="220" w:after="120"/>
      </w:pPr>
      <w:r>
        <w:rPr>
          <w:rFonts w:ascii="Arial" w:hAnsi="Arial" w:cs="Arial" w:eastAsia="Arial"/>
          <w:b/>
          <w:bCs/>
          <w:color w:val="2E74B5"/>
          <w:sz w:val="24"/>
          <w:szCs w:val="24"/>
        </w:rPr>
        <w:t>7. Pagos</w:t>
      </w:r>
    </w:p>
    <w:p>
      <w:pPr>
        <w:spacing w:before="0" w:after="120" w:line="276" w:lineRule="auto"/>
        <w:jc w:val="both"/>
      </w:pPr>
      <w:r>
        <w:rPr>
          <w:rFonts w:ascii="Arial" w:hAnsi="Arial" w:cs="Arial" w:eastAsia="Arial"/>
          <w:sz w:val="22"/>
          <w:szCs w:val="22"/>
        </w:rPr>
        <w:t>Los pagos se procesan a través de la pasarela de pago. La barbería no almacena los datos de tu tarjeta.</w:t>
      </w:r>
    </w:p>
    <w:p>
      <w:pPr>
        <w:pStyle w:val="Heading2"/>
        <w:keepNext/>
        <w:spacing w:before="220" w:after="120"/>
      </w:pPr>
      <w:r>
        <w:rPr>
          <w:rFonts w:ascii="Arial" w:hAnsi="Arial" w:cs="Arial" w:eastAsia="Arial"/>
          <w:b/>
          <w:bCs/>
          <w:color w:val="2E74B5"/>
          <w:sz w:val="24"/>
          <w:szCs w:val="24"/>
        </w:rPr>
        <w:t>8. Ley aplicable y contacto</w:t>
      </w:r>
    </w:p>
    <w:p>
      <w:pPr>
        <w:spacing w:before="0" w:after="120" w:line="276" w:lineRule="auto"/>
        <w:jc w:val="both"/>
      </w:pPr>
      <w:r>
        <w:rPr>
          <w:rFonts w:ascii="Arial" w:hAnsi="Arial" w:cs="Arial" w:eastAsia="Arial"/>
          <w:sz w:val="22"/>
          <w:szCs w:val="22"/>
        </w:rPr>
        <w:t>Estos términos se rigen por la legislación chilena, incluida la Ley N° 19.496 sobre Protección de los Derechos de los Consumidores. Contacto: [correo, POR COMPLETAR].</w:t>
      </w:r>
    </w:p>
    <w:p>
      <w:pPr>
        <w:pStyle w:val="Heading1"/>
        <w:keepNext/>
        <w:pageBreakBefore/>
        <w:spacing w:before="360" w:after="160"/>
      </w:pPr>
      <w:r>
        <w:rPr>
          <w:rFonts w:ascii="Arial" w:hAnsi="Arial" w:cs="Arial" w:eastAsia="Arial"/>
          <w:b/>
          <w:bCs/>
          <w:color w:val="1F3864"/>
          <w:sz w:val="28"/>
          <w:szCs w:val="28"/>
        </w:rPr>
        <w:t>Referencias</w:t>
      </w:r>
    </w:p>
    <w:p>
      <w:pPr>
        <w:spacing w:before="0" w:after="120" w:line="360" w:lineRule="auto"/>
        <w:ind w:left="720" w:hanging="720"/>
      </w:pPr>
      <w:r>
        <w:rPr>
          <w:rFonts w:ascii="Arial" w:hAnsi="Arial" w:cs="Arial" w:eastAsia="Arial"/>
          <w:sz w:val="22"/>
          <w:szCs w:val="22"/>
        </w:rPr>
        <w:t xml:space="preserve">Ley N° 19.496. (1997, 7 de marzo). </w:t>
      </w:r>
      <w:r>
        <w:rPr>
          <w:rFonts w:ascii="Arial" w:hAnsi="Arial" w:cs="Arial" w:eastAsia="Arial"/>
          <w:i/>
          <w:iCs/>
          <w:sz w:val="22"/>
          <w:szCs w:val="22"/>
        </w:rPr>
        <w:t>Establece normas sobre protección de los derechos de los consumidores</w:t>
      </w:r>
      <w:r>
        <w:rPr>
          <w:rFonts w:ascii="Arial" w:hAnsi="Arial" w:cs="Arial" w:eastAsia="Arial"/>
          <w:sz w:val="22"/>
          <w:szCs w:val="22"/>
        </w:rPr>
        <w:t>. Diario Oficial de la República de Chile. https://www.bcn.cl/leychile/navegar?idNorma=61438</w:t>
      </w:r>
    </w:p>
    <w:p>
      <w:pPr>
        <w:spacing w:before="0" w:after="120" w:line="360" w:lineRule="auto"/>
        <w:ind w:left="720" w:hanging="720"/>
      </w:pPr>
      <w:r>
        <w:rPr>
          <w:rFonts w:ascii="Arial" w:hAnsi="Arial" w:cs="Arial" w:eastAsia="Arial"/>
          <w:sz w:val="22"/>
          <w:szCs w:val="22"/>
        </w:rPr>
        <w:t xml:space="preserve">Ley N° 19.628. (1999, 28 de agosto). </w:t>
      </w:r>
      <w:r>
        <w:rPr>
          <w:rFonts w:ascii="Arial" w:hAnsi="Arial" w:cs="Arial" w:eastAsia="Arial"/>
          <w:i/>
          <w:iCs/>
          <w:sz w:val="22"/>
          <w:szCs w:val="22"/>
        </w:rPr>
        <w:t>Sobre protección de la vida privada</w:t>
      </w:r>
      <w:r>
        <w:rPr>
          <w:rFonts w:ascii="Arial" w:hAnsi="Arial" w:cs="Arial" w:eastAsia="Arial"/>
          <w:sz w:val="22"/>
          <w:szCs w:val="22"/>
        </w:rPr>
        <w:t>. Diario Oficial de la República de Chile. https://www.bcn.cl/leychile/navegar?idNorma=141599</w:t>
      </w:r>
    </w:p>
    <w:p>
      <w:pPr>
        <w:spacing w:before="0" w:after="120" w:line="360" w:lineRule="auto"/>
        <w:ind w:left="720" w:hanging="720"/>
      </w:pPr>
      <w:r>
        <w:rPr>
          <w:rFonts w:ascii="Arial" w:hAnsi="Arial" w:cs="Arial" w:eastAsia="Arial"/>
          <w:sz w:val="22"/>
          <w:szCs w:val="22"/>
        </w:rPr>
        <w:t xml:space="preserve">Ley N° 21.719. (2024, 13 de diciembre). </w:t>
      </w:r>
      <w:r>
        <w:rPr>
          <w:rFonts w:ascii="Arial" w:hAnsi="Arial" w:cs="Arial" w:eastAsia="Arial"/>
          <w:i/>
          <w:iCs/>
          <w:sz w:val="22"/>
          <w:szCs w:val="22"/>
        </w:rPr>
        <w:t>Regula la protección y el tratamiento de los datos personales y crea la Agencia de Protección de Datos Personales</w:t>
      </w:r>
      <w:r>
        <w:rPr>
          <w:rFonts w:ascii="Arial" w:hAnsi="Arial" w:cs="Arial" w:eastAsia="Arial"/>
          <w:sz w:val="22"/>
          <w:szCs w:val="22"/>
        </w:rPr>
        <w:t>. Diario Oficial de la República de Chile. https://www.bcn.cl/leychile/navegar?idNorma=1209272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sz w:val="18"/>
        <w:szCs w:val="18"/>
      </w:rPr>
      <w:t xml:space="preserve">Página </w:t>
    </w:r>
    <w:r>
      <w:rPr>
        <w:rFonts w:ascii="Arial" w:cs="Arial" w:eastAsia="Arial" w:hAnsi="Arial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88888"/>
        <w:sz w:val="16"/>
        <w:szCs w:val="16"/>
      </w:rPr>
      <w:t>Política de Privacidad y Términos y Condiciones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Yerko Rosales, Jonathan Ojeda</dc:creator>
  <cp:lastModifiedBy>Un-named</cp:lastModifiedBy>
  <cp:revision>1</cp:revision>
  <dcterms:created xsi:type="dcterms:W3CDTF">2026-08-27T15:54:55.185Z</dcterms:created>
  <dcterms:modified xsi:type="dcterms:W3CDTF">2026-08-27T15:54:55.185Z</dcterms:modified>
  <dc:title>Politica_de_Privacidad_y_Terminos_y_Condiciones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