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Documento de Requerimientos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1.1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Este documento consolida los requerimientos del Proyecto Barbería Big-Boys y su trazabilidad a los objetivos del Acta de Constitución. La especificación detallada, conforme al estándar IEEE 830 (IEEE, 1998), se mantiene en el ERS, revisión 04.1; este documento resume y valida el catálogo vigente: </w:t>
      </w:r>
      <w:r>
        <w:rPr>
          <w:rFonts w:ascii="Arial" w:hAnsi="Arial" w:cs="Arial" w:eastAsia="Arial"/>
          <w:b/>
          <w:bCs/>
          <w:sz w:val="22"/>
          <w:szCs w:val="22"/>
        </w:rPr>
        <w:t>63 requerimientos funcionales</w:t>
      </w:r>
      <w:r>
        <w:rPr>
          <w:rFonts w:ascii="Arial" w:hAnsi="Arial" w:cs="Arial" w:eastAsia="Arial"/>
          <w:sz w:val="22"/>
          <w:szCs w:val="22"/>
        </w:rPr>
        <w:t xml:space="preserve"> (21 sin cambios, 16 modificados y 26 nuevos) y </w:t>
      </w:r>
      <w:r>
        <w:rPr>
          <w:rFonts w:ascii="Arial" w:hAnsi="Arial" w:cs="Arial" w:eastAsia="Arial"/>
          <w:b/>
          <w:bCs/>
          <w:sz w:val="22"/>
          <w:szCs w:val="22"/>
        </w:rPr>
        <w:t>11 no funcionales</w:t>
      </w:r>
      <w:r>
        <w:rPr>
          <w:rFonts w:ascii="Arial" w:hAnsi="Arial" w:cs="Arial" w:eastAsia="Arial"/>
          <w:sz w:val="22"/>
          <w:szCs w:val="22"/>
        </w:rPr>
        <w:t xml:space="preserve"> (3 sin cambios, 3 modificados y 5 nuevos). Los cambios responden a: abono de $3.000 parametrizable, tres sucursales, reemplazo de Cloud Firestore por una base de datos relacional, atención por orden de llegada y cumplimiento anticipado de la Ley N° 21.719.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Técnica de Levantamiento de Requerimientos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Técnica de Levantamiento de Requerimientos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3800"/>
      </w:tblGrid>
      <w:tr>
        <w:trPr>
          <w:tblHeader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Técnica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Con quién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>
        <w:trPr>
          <w:cantSplit/>
        </w:trPr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Entrevista (Kick-Off, 14-08-2026)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 de la barbería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Problemática, sucursales, reglas de negocio, abono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Observación del proceso de atención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Administradores y barberos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Flujo por orden de llegada y registro manual en Excel</w:t>
            </w:r>
          </w:p>
        </w:tc>
      </w:tr>
      <w:tr>
        <w:trPr>
          <w:cantSplit/>
        </w:trPr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Revisión documental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Planilla Excel de atenciones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Campos a digitalizar (barbero, servicio, monto)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Conversación informal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Clientes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Experiencia de espera y abandono</w:t>
            </w:r>
          </w:p>
        </w:tc>
      </w:tr>
      <w:tr>
        <w:trPr>
          <w:cantSplit/>
        </w:trPr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Benchmarking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Apps de agendamiento de barberías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Abono de reserva, pop-up de invitado, fidelización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Análisis normativo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Ley N° 19.628 y Ley N° 21.719 (Ley N° 19.628, 1999; Ley N° 21.719, 2024)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Requerimientos de privacidad, derechos del titular y seguridad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Requerimientos Funcionales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0"/>
          <w:szCs w:val="20"/>
        </w:rPr>
        <w:t>Cada requerimiento tiene código, descripción, categoría (módulo), criterio de aceptación y prioridad. La columna «Estado» indica si es vigente, modificado o nuevo respecto de la revisión 03 del ERS.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Catálogo de requerimientos funcionales de la V1 (RF-23 a RF-27 corresponden al roadmap V2)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760"/>
        <w:gridCol w:w="3515"/>
        <w:gridCol w:w="1425"/>
        <w:gridCol w:w="2280"/>
        <w:gridCol w:w="760"/>
        <w:gridCol w:w="760"/>
      </w:tblGrid>
      <w:tr>
        <w:trPr>
          <w:tblHeader/>
        </w:trPr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w="35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Categoría</w:t>
            </w:r>
          </w:p>
        </w:tc>
        <w:tc>
          <w:tcPr>
            <w:tcW w:w="22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Criterio de aceptación</w:t>
            </w:r>
          </w:p>
        </w:tc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RF-01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Autorregistro de clientes.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Solo los clientes pueden crear su propia cuenta. Registro con nombre, correo, contraseña y teléfono opcional, aceptando la Política de Privacidad vigente. No se solicita RUT (minimización).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 crea la cuenta sin solicitar RUT; sin aceptar la política no se registra.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RF-02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Inicio de sesión.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Autenticación con correo y contraseña; bloqueo temporal tras 5 intentos fallidos.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RF-03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Ingreso como invitado.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Reserva express con nombre y teléfono; muestra pop-up promocional que invita a crear perfil.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RF-04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Panel de perfil.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Ver y editar datos personales, historial, puntos y cupones.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RF-05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Control de acceso por roles.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Roles Cliente, Barbero, Administrador de sucursal y Dueño, con alcance por sucursal. Los roles de colaborador solo los asigna el Dueño.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RF-06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Cierre de sesión seguro.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Invalida el token y limpia el estado local.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RF-07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Directorio de sucursales.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Muestra las 3 sucursales (Peñaflor – 21 de Mayo, Peñaflor – Alcalde Luis Araya Cereceda y Talagante) con dirección, horario y estado.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Sucursales, staff y catálogo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RF-08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Navegación a la sucursal.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Enlace a Google Maps / Waze.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Sucursales, staff y catálogo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RF-09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Directorio de barberos.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Barberos por sucursal, especialidad y calificación.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Sucursales, staff y catálogo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RF-10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Catálogo de servicios y precios.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Servicios con duración y precio en CLP por sucursal.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Sucursales, staff y catálogo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RF-11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Flujo asistido de agendamiento.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Sucursal → barbero → servicio → fecha → hora → pago de abono.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RF-12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Cálculo de disponibilidad.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Bloques según jornada, bloqueos y reservas vigentes; la BD impide traslapes.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RF-13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Barbero específico o «Cualquiera».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Asignación del primer barbero libre si el cliente no elige.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RF-14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Abono de reserva parametrizable.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Abono de $3.000 CLP fijo para todos los servicios, definido en Configuración por sucursal y/o servicio (monto o porcentaje). Se descuenta del valor del servicio. Sin abono la cita no queda tomada.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La reserva solo pasa a CONFIRMADA con abono autorizado; el monto se lee desde Configuración.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RF-15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Pago delegado a pasarela.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Integración con Webpay Plus (alternativa Mercado Pago). El sistema solo guarda ID de transacción, monto y estado; nunca datos de tarjeta.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La BD no contiene ningún dato de tarjeta (verificado por revisión de esquema).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RF-16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Comprobante digital.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Comprobante con código de reserva, servicio, sucursal, barbero y hora.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RF-17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citas / historial.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Citas futuras y pasadas por estado.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RF-18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Cancelación de citas.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Con ≥ 24 h de anticipación el abono queda como saldo a favor; con &lt; 24 h o no-show el abono se pierde.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La regla de 24 h se aplica automáticamente y queda en auditoría.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RF-19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Cupón de bienvenida.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Cupón con PIN de 4 dígitos para los primeros 100 registros.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Fidelización y marketing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RF-20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Puntos de fidelización.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Acumulación por atención completada y canje por descuentos.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Fidelización y marketing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RF-21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Ruleta de beneficios.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Un giro cada 30 días para clientes registrados.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Fidelización y marketing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RF-22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Códigos promocionales.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Canje de códigos con validación de vigencia.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Fidelización y marketing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RF-28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Correo de confirmación.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Envío automático al confirmar el abono.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Notificaciones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RF-29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Correo de cancelación.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Aviso al cancelar (cliente o local).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Notificaciones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Notificaciones y recordatorios.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Bandeja interna y recordatorio 24 h antes de la cita.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Notificaciones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RF-31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Dashboard diario.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Citas del día por barbero y hora, por sucursal (administrador de sucursal y dueño).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RF-32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Cambio de estados de cita.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Lo realiza exclusivamente el administrador de sucursal (cajero/a): Pendiente de pago, Confirmada, En atención, Atendida, Cancelada, No-show, Expirada.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RF-33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Bloqueo de horarios.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 administrador de sucursal bloquea franjas de la agenda de cada barbero.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RF-34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Caja y resumen de ingresos.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Totales por abonos aplicados, pagos en local y propinas.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RF-35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Gestión de barberos y servicios.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Alta, baja y modificación.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Vigente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RF-36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Caché local para uso sin conexión.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La app conserva catálogo, citas e historial en Room/SQLite y encola cambios.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Sincronización y multiplataforma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RF-37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Sincronización con la API central.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Web y app usan una única API y una base de datos relacional PostgreSQL (reemplaza Cloud Firestore).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Sincronización y multiplataforma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Modificado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RF-38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Recuperación de contraseña.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Enlace de un solo uso con vigencia de 30 minutos.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RF-39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Reprogramación de citas.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Reagendar con ≥ 24 h de anticipación, máximo 2 veces, reutilizando el mismo abono.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No permite un tercer reagendamiento ni con &lt; 24 h.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Expiración de reservas impagas.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Si el abono no se autoriza en 15 minutos la reserva expira y libera el cupo.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Reservas, abono y agenda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RF-41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Fila por orden de llegada.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 administrador de sucursal registra turnos de clientes sin reserva, los llama, inicia la atención o marca abandono.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en sucursal (orden de llegada)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Cada turno termina en ATENDIDO o ABANDONO.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RF-42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Registro digital de atenciones.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 administrador de sucursal confirma el servicio, inicia y cierra la atención y registra barbero, monto, abono aplicado, propina y medio de pago (reemplaza el Excel).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en sucursal (orden de llegada)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Cero registros en Excel tras la marcha blanca.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RF-43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Marcar no-show.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 administrador de sucursal marca la inasistencia, que retiene el abono según reglas.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en sucursal (orden de llegada)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RF-44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Configuración de parámetros.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Abono (monto/porcentaje, global/sucursal/servicio), horas de reagendamiento, máximo de reagendamientos y plazos de retención.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RF-45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Gestión de sucursales.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Alta, edición y desactivación de sucursales.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RF-46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Dashboard de KPIs.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KPIs por sucursal, subtotal Peñaflor y consolidado (atención, abandono, no-show, ocupación, ingresos).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RF-47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Reportes exportables.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Reportes en PDF/Excel por período, sucursal y barbero.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Administración y gestión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RF-48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Consentimiento informado.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Registro de versión de política, fecha, finalidad y canal al registrarse o reservar.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Cada consentimiento guarda versión, fecha, finalidad y canal.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RF-49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Consentimiento promocional separado.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Opcional, desmarcado por defecto y revocable en cualquier momento.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Casilla desmarcada por defecto; revocación en un clic.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datos — Acceso.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 titular consulta todos sus datos y los tratamientos realizados.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RF-51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datos — Rectificación.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Corrección de datos inexactos o incompletos.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RF-52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datos — Supresión.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Eliminación o anonimización de la cuenta y datos personales, conservando solo lo exigido por ley.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RF-53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datos — Oposición.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Oposición a tratamientos específicos (p. ej., marketing).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RF-54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datos — Portabilidad.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Descarga de los datos en formato estructurado (JSON y CSV).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Descarga JSON y CSV en menos de 1 minuto.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RF-55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Mis datos — Bloqueo.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Suspensión temporal del tratamiento mientras se resuelve una solicitud.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RF-56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Gestión de solicitudes de derechos.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Bandeja del responsable con folio, plazo de 30 días corridos, prórroga única y trazabilidad.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Privacidad y derechos del titular («Mis datos»)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100% de las solicitudes respondidas en ≤ 30 días corridos.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RF-57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Registro y consulta de auditoría.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Log inmutable de accesos, cambios y consultas a datos personales.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Seguridad, auditoría y gobierno de datos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La tabla de auditoría rechaza UPDATE/DELETE.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RF-58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Retención y anonimización automática.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Proceso programado que anonimiza cuentas inactivas e invitados vencidos.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Seguridad, auditoría y gobierno de datos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El proceso registra cada ejecución y las cuentas anonimizadas.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RF-59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Gestión de incidentes de seguridad.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Registro de brechas, evaluación de riesgo y notificación a la Agencia y titulares.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Seguridad, auditoría y gobierno de datos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Registro de actividades de tratamiento.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RAT mantenido en el sistema y exportable.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Seguridad, auditoría y gobierno de datos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RF-61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Publicación de políticas versionadas.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Política de Privacidad y Términos y Condiciones con versión, fecha y huella.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Seguridad, auditoría y gobierno de datos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RF-63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Alta de colaboradores y entrega de credenciales.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Solo el Dueño / Administrador general crea los perfiles de barberos y administradores de sucursal (cajero/a), asigna rol y sucursal, genera una contraseña temporal que entrega personalmente y desactiva el perfil al término de la relación laboral. El colaborador debe cambiar la contraseña en su primer ingreso. Los colaboradores no pueden autorregistrarse.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Autenticación, perfiles y roles</w:t>
            </w:r>
          </w:p>
        </w:tc>
        <w:tc>
          <w:tcPr>
            <w:tcW w:w="2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Muy alta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RF-62</w:t>
            </w:r>
          </w:p>
        </w:tc>
        <w:tc>
          <w:tcPr>
            <w:tcW w:w="35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Consulta de atenciones y ganancias del barbero.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El barbero consulta (solo lectura) cuántas atenciones lleva, el monto de cada una y el total acumulado a la fecha de la consulta, sin datos de contacto de los clientes.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en sucursal (orden de llegada)</w:t>
            </w:r>
          </w:p>
        </w:tc>
        <w:tc>
          <w:tcPr>
            <w:tcW w:w="22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Cumple el flujo descrito en el caso de uso asociado.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Nuevo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Requerimientos No Funcionales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Requerimientos No Funcionales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950"/>
        <w:gridCol w:w="2375"/>
        <w:gridCol w:w="1425"/>
        <w:gridCol w:w="4750"/>
      </w:tblGrid>
      <w:tr>
        <w:trPr>
          <w:tblHeader/>
        </w:trPr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Código</w:t>
            </w:r>
          </w:p>
        </w:tc>
        <w:tc>
          <w:tcPr>
            <w:tcW w:w="23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Criterio de aceptación / métrica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RNF-01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Rendimiento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Rendimiento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Cálculo de disponibilidad &lt; 200 ms; confirmación de reserva &lt; 3 s (excluido el tiempo en la pasarela); inicio de la app &lt; 1,5 s.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RNF-02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Disponibilidad y operación sin conexión (Modificado)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Disponibilidad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Disponibilidad ≥ 99,5% en horario de atención; la app opera en modo lectura sin conexión y sincroniza al reconectar.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RNF-03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Seguridad (Modificado)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Seguridad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TLS 1.2+ en tránsito; cifrado en reposo (AES-256) de BD y respaldos; contraseñas con Argon2id o bcrypt; RBAC; secretos fuera del código; sin almacenamiento de datos de tarjeta.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RNF-04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Usabilidad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Usabilidad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Material Design 3, tamaño táctil ≥ 48×48 dp, agendamiento en &lt; 60 s, textos legales en lenguaje claro.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RNF-05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Compatibilidad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Compatibilidad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Android 8.0 (API 26) o superior y navegadores modernos (Chrome, Edge, Firefox, Safari).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RNF-06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Mantenibilidad y arquitectura (Modificado)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Mantenibilidad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Arquitectura en capas: clientes (web y app MVVM) → API REST → PostgreSQL; separación de responsabilidades y pruebas automatizadas.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RNF-07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Cumplimiento normativo (Nuevo)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Legal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Cumple la Ley N° 19.628 vigente e implementa de forma anticipada la Ley N° 21.719 desde el lanzamiento.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RNF-08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Privacidad desde el diseño y por defecto (Nuevo)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Privacidad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Minimización de datos, consentimiento promocional desmarcado por defecto, seudonimización en reportes y logs.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RNF-09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Respaldo y recuperación (Nuevo)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Continuidad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Respaldo diario cifrado con retención de 30 días; RPO ≤ 24 h y RTO ≤ 4 h; prueba de restauración trimestral.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RNF-10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Trazabilidad y auditoría (Nuevo)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Auditoría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100% de los accesos a datos personales y cambios de configuración quedan en el registro de auditoría inmutable.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RNF-11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Residencia de datos (Nuevo)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Legal / Infraestructura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Base de datos alojada en Supabase (PostgreSQL 17, región us-west-2, Oregón, EE. UU.): transferencia internacional de datos personales declarada en la Política de Privacidad y en el Registro de Actividades de Tratamiento (RAT), con las garantías contractuales del proveedor.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Matriz de Trazabilidad de Requerimientos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Matriz de Trazabilidad de Requerimientos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855"/>
        <w:gridCol w:w="3990"/>
        <w:gridCol w:w="1710"/>
        <w:gridCol w:w="1615"/>
        <w:gridCol w:w="1330"/>
      </w:tblGrid>
      <w:tr>
        <w:trPr>
          <w:tblHeader/>
        </w:trPr>
        <w:tc>
          <w:tcPr>
            <w:tcW w:w="8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w="39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Objetivo del Acta relacionado</w:t>
            </w:r>
          </w:p>
        </w:tc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Interesado que lo solicitó</w:t>
            </w:r>
          </w:p>
        </w:tc>
        <w:tc>
          <w:tcPr>
            <w:tcW w:w="16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Casos de uso</w:t>
            </w:r>
          </w:p>
        </w:tc>
        <w:tc>
          <w:tcPr>
            <w:tcW w:w="13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RF-01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RF-02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CU-02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RF-03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OE3 — Ingreso como invitado con pop-up promocional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CU-05, CU-06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RF-04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CU-04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RF-05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CU-02, CU-31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RF-06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RF-07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CU-17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RF-08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CU-17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RF-09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CU-18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RF-10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CU-16, CU-30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RF-11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CU-20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RF-12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CU-19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RF-13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CU-18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RF-14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CU-20, CU-21, CU-33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RF-15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RF-16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RF-17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CU-25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RF-18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CU-23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RF-19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OE3 — Ingreso como invitado con pop-up promocional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CU-01, CU-34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RF-20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OE3 — Ingreso como invitado con pop-up promocional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CU-29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RF-21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OE3 — Ingreso como invitado con pop-up promocional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RF-22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OE3 — Ingreso como invitado con pop-up promocional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CU-34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RF-28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CU-24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RF-29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CU-23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RF-30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CU-24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RF-31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CU-27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RF-32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CU-28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RF-33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CU-27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RF-34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CU-29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RF-35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CU-30, CU-31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RF-36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RF-37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RF-38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CU-03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RF-39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CU-22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RF-40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OE2 — Abono de reserva de $3.000 que asegura asistencia y cupo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CU-20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RF-41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CU-26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RF-42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CU-29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RF-43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CU-28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RF-44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CU-33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RF-45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CU-32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RF-46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CU-37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RF-47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CU-38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RF-48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CU-01, CU-05, CU-07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RF-49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CU-01, CU-06, CU-08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RF-50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CU-09, CU-10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RF-51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CU-04, CU-11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RF-52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CU-12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RF-53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CU-08, CU-13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RF-54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CU-14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RF-55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CU-15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RF-56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CU-09, CU-35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RF-57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CU-02, CU-36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RF-58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CU-40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RF-59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CU-39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RF-60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RF-61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OE5 — Cumplimiento anticipado de la Ley N° 21.719 y gobierno de datos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Equipo de proyecto; marco legal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CU-07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RF-63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OE1 — Perfil de cliente y agendamiento del servicio habitual o nuevo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clientes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CU-31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RF-62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OE4 — Perfiles de colaborador y administrador que reemplazan el Excel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Dueño/a; administradores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CU-41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(validar)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C9A227"/>
        </w:pBdr>
        <w:shd w:val="clear" w:color="auto" w:fill="FFF4D6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SUPUESTO — por validar: </w:t>
      </w:r>
      <w:r>
        <w:rPr>
          <w:rFonts w:ascii="Arial" w:hAnsi="Arial" w:cs="Arial" w:eastAsia="Arial"/>
          <w:sz w:val="21"/>
          <w:szCs w:val="21"/>
        </w:rPr>
        <w:t>Los requerimientos modificados y nuevos quedan en estado «Propuesto» hasta su validación por el/la dueño/a y el docente (SC-01 a SC-20 del Control de Cambios).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Validación de Requerimientos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La validación se realiza en tres instancias: (1) revisión con el/la dueño/a de los requerimientos de negocio (abono, reglas de reagendamiento, sucursales, KPIs) en la reunión del hito H3; (2) revisión técnica cruzada entre los integrantes para verificar que cada requerimiento sea verificable y trazable a un caso de uso y a una entidad del modelo de datos; y (3) validación académica con el docente. El resultado se registra en el Control de Cambios.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IEEE. (1998). </w:t>
      </w:r>
      <w:r>
        <w:rPr>
          <w:rFonts w:ascii="Arial" w:hAnsi="Arial" w:cs="Arial" w:eastAsia="Arial"/>
          <w:i/>
          <w:iCs/>
          <w:sz w:val="22"/>
          <w:szCs w:val="22"/>
        </w:rPr>
        <w:t>IEEE recommended practice for software requirements specifications</w:t>
      </w:r>
      <w:r>
        <w:rPr>
          <w:rFonts w:ascii="Arial" w:hAnsi="Arial" w:cs="Arial" w:eastAsia="Arial"/>
          <w:sz w:val="22"/>
          <w:szCs w:val="22"/>
        </w:rPr>
        <w:t xml:space="preserve"> (IEEE Std 830-1998). https://doi.org/10.1109/IEEESTD.1998.88286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Documento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2026-08-27T15:54:55.611Z</dcterms:created>
  <dcterms:modified xsi:type="dcterms:W3CDTF">2026-08-27T15:54:55.611Z</dcterms:modified>
  <dc:title>04_Documento_de_Requerimientos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