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6803E4C4" w14:textId="77777777" w:rsidR="003A56F9" w:rsidRDefault="00000000">
      <w:pPr>
        <w:spacing w:before="400" w:after="400"/>
        <w:jc w:val="center"/>
      </w:pPr>
      <w:r>
        <w:rPr>
          <w:b/>
          <w:bCs/>
          <w:color w:val="1F3864"/>
          <w:sz w:val="32"/>
          <w:szCs w:val="32"/>
        </w:rPr>
        <w:t>DUOC UC</w:t>
      </w:r>
    </w:p>
    <w:p w14:paraId="69C650E8" w14:textId="77777777" w:rsidR="003A56F9" w:rsidRDefault="00000000">
      <w:pPr>
        <w:spacing w:after="600"/>
        <w:jc w:val="center"/>
      </w:pPr>
      <w:r>
        <w:rPr>
          <w:sz w:val="22"/>
          <w:szCs w:val="22"/>
        </w:rPr>
        <w:t>Escuela de Informática y Telecomunicaciones</w:t>
      </w:r>
    </w:p>
    <w:p w14:paraId="781AD5AE" w14:textId="77777777" w:rsidR="003A56F9" w:rsidRDefault="00000000">
      <w:pPr>
        <w:spacing w:before="800" w:after="200"/>
        <w:jc w:val="center"/>
      </w:pPr>
      <w:r>
        <w:rPr>
          <w:b/>
          <w:bCs/>
          <w:color w:val="1F3864"/>
          <w:sz w:val="32"/>
          <w:szCs w:val="32"/>
        </w:rPr>
        <w:t>Informe de Definición del Alcance</w:t>
      </w:r>
    </w:p>
    <w:p w14:paraId="402B79DA" w14:textId="77777777" w:rsidR="008C0EC9" w:rsidRDefault="00000000">
      <w:pPr>
        <w:spacing w:after="800"/>
        <w:jc w:val="center"/>
        <w:rPr>
          <w:b/>
          <w:bCs/>
        </w:rPr>
      </w:pPr>
      <w:r>
        <w:rPr>
          <w:b/>
          <w:bCs/>
        </w:rPr>
        <w:t>Proyecto Barbería Big-Boys</w:t>
      </w:r>
    </w:p>
    <w:p w14:paraId="7FFFE397" w14:textId="77777777" w:rsidR="008C0EC9" w:rsidRDefault="00000000">
      <w:pPr>
        <w:spacing w:after="800"/>
        <w:jc w:val="center"/>
        <w:rPr>
          <w:b/>
          <w:bCs/>
        </w:rPr>
      </w:pPr>
      <w:r>
        <w:rPr>
          <w:b/>
          <w:bCs/>
        </w:rPr>
        <w:t>—</w:t>
      </w:r>
    </w:p>
    <w:p w14:paraId="388468A6" w14:textId="5EEE88B8" w:rsidR="003A56F9" w:rsidRDefault="00000000">
      <w:pPr>
        <w:spacing w:after="800"/>
        <w:jc w:val="center"/>
      </w:pPr>
      <w:r>
        <w:rPr>
          <w:b/>
          <w:bCs/>
        </w:rPr>
        <w:t>Sistema de agendamiento y gestión (web + app móvil)</w:t>
      </w:r>
      <w:proofErr w:type="gramStart"/>
      <w:r>
        <w:rPr>
          <w:b/>
          <w:bCs/>
        </w:rPr>
      </w:r>
      <w:proofErr w:type="gramEnd"/>
      <w:r>
        <w:rPr>
          <w:b/>
          <w:bCs/>
        </w:rPr>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Asignatura</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val="false"/>
                <w:color w:val="000000"/>
                <w:sz w:val="20"/>
                <w:szCs w:val="20"/>
              </w:rPr>
              <w:t>PTY4614 — Capstone</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Sección</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CAPSTONE_011V</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Docente</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Fernando Herrera</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Integrantes</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Yerko Rosales (Jefe de Proyecto, Analista y Diseño UX/UI) · Jonathan Ojeda (Desarrollo Backend y Base de Datos)</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Fecha de entrega</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color w:val="000000"/>
                <w:sz w:val="20"/>
                <w:szCs w:val="20"/>
              </w:rPr>
              <w:t>18 de octubre de 2026 (entrega Fase 2)</w:t>
            </w:r>
          </w:p>
        </w:tc>
      </w:tr>
      <w:tr>
        <w:tc>
          <w:tcPr>
            <w:tcW w:type="dxa" w:w="2500"/>
            <w:shd w:fill="1F3864" w:color="auto"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Versión</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i w:val="0"/>
                <w:iCs w:val="false"/>
                <w:color w:val="000000"/>
                <w:sz w:val="20"/>
                <w:szCs w:val="20"/>
              </w:rPr>
              <w:t>1.1</w:t>
            </w:r>
          </w:p>
        </w:tc>
      </w:tr>
    </w:tbl>
    <w:p>
      <w:pPr>
        <w:pStyle w:val="Heading1"/>
        <w:keepNext/>
        <w:spacing w:before="360" w:after="160"/>
      </w:pPr>
      <w:r>
        <w:rPr>
          <w:rFonts w:ascii="Arial" w:hAnsi="Arial" w:cs="Arial" w:eastAsia="Arial"/>
          <w:b/>
          <w:bCs/>
          <w:color w:val="1F3864"/>
          <w:sz w:val="28"/>
          <w:szCs w:val="28"/>
        </w:rPr>
        <w:t>1. Introducción</w:t>
      </w:r>
    </w:p>
    <w:p>
      <w:pPr>
        <w:spacing w:before="0" w:after="120" w:line="276" w:lineRule="auto"/>
        <w:jc w:val="both"/>
      </w:pPr>
      <w:r>
        <w:rPr>
          <w:rFonts w:ascii="Arial" w:hAnsi="Arial" w:cs="Arial" w:eastAsia="Arial"/>
          <w:sz w:val="22"/>
          <w:szCs w:val="22"/>
        </w:rPr>
        <w:t>Este informe define el alcance del producto y del proyecto (Proyecto Barbería Big-Boys), su justificación de negocio cuantificada, los entregables, los criterios de aceptación, las exclusiones, restricciones y supuestos. Es la línea base de alcance junto con la EDT (06) y el ERS revisión 04.1, siguiendo el proceso de definición del alcance del PMBOK (Project Management Institute [PMI], 2021).</w:t>
      </w:r>
    </w:p>
    <w:p>
      <w:pPr>
        <w:pStyle w:val="Heading2"/>
        <w:keepNext/>
        <w:spacing w:before="220" w:after="120"/>
      </w:pPr>
      <w:r>
        <w:rPr>
          <w:rFonts w:ascii="Arial" w:hAnsi="Arial" w:cs="Arial" w:eastAsia="Arial"/>
          <w:b/>
          <w:bCs/>
          <w:color w:val="2E74B5"/>
          <w:sz w:val="24"/>
          <w:szCs w:val="24"/>
        </w:rPr>
        <w:t>1.1 Justificación cuantificada</w:t>
      </w:r>
    </w:p>
    <w:p>
      <w:pPr>
        <w:spacing w:before="0" w:after="120" w:line="276" w:lineRule="auto"/>
        <w:jc w:val="both"/>
      </w:pPr>
      <w:r>
        <w:rPr>
          <w:rFonts w:ascii="Arial" w:hAnsi="Arial" w:cs="Arial" w:eastAsia="Arial"/>
          <w:sz w:val="22"/>
          <w:szCs w:val="22"/>
        </w:rPr>
        <w:t xml:space="preserve">Barbería Big-Boys atiende por orden de llegada en tres sucursales. En los días de mayor demanda (peak) se atienden aproximadamente 130 clientes y </w:t>
      </w:r>
      <w:r>
        <w:rPr>
          <w:rFonts w:ascii="Arial" w:hAnsi="Arial" w:cs="Arial" w:eastAsia="Arial"/>
          <w:b/>
          <w:bCs/>
          <w:sz w:val="22"/>
          <w:szCs w:val="22"/>
        </w:rPr>
        <w:t>26 clientes se van sin ser atendidos</w:t>
      </w:r>
      <w:r>
        <w:rPr>
          <w:rFonts w:ascii="Arial" w:hAnsi="Arial" w:cs="Arial" w:eastAsia="Arial"/>
          <w:sz w:val="22"/>
          <w:szCs w:val="22"/>
        </w:rPr>
        <w:t xml:space="preserve">, lo que equivale a una tasa de abandono consolidada de </w:t>
      </w:r>
      <w:r>
        <w:rPr>
          <w:rFonts w:ascii="Arial" w:hAnsi="Arial" w:cs="Arial" w:eastAsia="Arial"/>
          <w:b/>
          <w:bCs/>
          <w:sz w:val="22"/>
          <w:szCs w:val="22"/>
        </w:rPr>
        <w:t>16,7%</w:t>
      </w:r>
      <w:r>
        <w:rPr>
          <w:rFonts w:ascii="Arial" w:hAnsi="Arial" w:cs="Arial" w:eastAsia="Arial"/>
          <w:sz w:val="22"/>
          <w:szCs w:val="22"/>
        </w:rPr>
        <w:t xml:space="preserve">. Proyectando días peak y días normales (ver supuestos), se pierden cerca de </w:t>
      </w:r>
      <w:r>
        <w:rPr>
          <w:rFonts w:ascii="Arial" w:hAnsi="Arial" w:cs="Arial" w:eastAsia="Arial"/>
          <w:b/>
          <w:bCs/>
          <w:sz w:val="22"/>
          <w:szCs w:val="22"/>
        </w:rPr>
        <w:t>4.326 clientes al año</w:t>
      </w:r>
      <w:r>
        <w:rPr>
          <w:rFonts w:ascii="Arial" w:hAnsi="Arial" w:cs="Arial" w:eastAsia="Arial"/>
          <w:sz w:val="22"/>
          <w:szCs w:val="22"/>
        </w:rPr>
        <w:t xml:space="preserve">, equivalentes a </w:t>
      </w:r>
      <w:r>
        <w:rPr>
          <w:rFonts w:ascii="Arial" w:hAnsi="Arial" w:cs="Arial" w:eastAsia="Arial"/>
          <w:b/>
          <w:bCs/>
          <w:sz w:val="22"/>
          <w:szCs w:val="22"/>
        </w:rPr>
        <w:t>$51.484.160 anuales</w:t>
      </w:r>
      <w:r>
        <w:rPr>
          <w:rFonts w:ascii="Arial" w:hAnsi="Arial" w:cs="Arial" w:eastAsia="Arial"/>
          <w:sz w:val="22"/>
          <w:szCs w:val="22"/>
        </w:rPr>
        <w:t>, valorizados exclusivamente con el precio del corte ($11.900), ya que no se sabe qué servicio habría tomado cada cliente que se fue.</w:t>
      </w:r>
    </w:p>
    <w:p>
      <w:pPr>
        <w:keepNext/>
        <w:spacing w:before="160" w:after="0"/>
      </w:pPr>
      <w:r>
        <w:rPr>
          <w:rFonts w:ascii="Arial" w:hAnsi="Arial" w:cs="Arial" w:eastAsia="Arial"/>
          <w:b/>
          <w:bCs/>
          <w:sz w:val="21"/>
          <w:szCs w:val="21"/>
        </w:rPr>
        <w:t>Tabla 1</w:t>
      </w:r>
    </w:p>
    <w:p>
      <w:pPr>
        <w:keepNext/>
        <w:spacing w:before="0" w:after="80"/>
      </w:pPr>
      <w:r>
        <w:rPr>
          <w:rFonts w:ascii="Arial" w:hAnsi="Arial" w:cs="Arial" w:eastAsia="Arial"/>
          <w:i/>
          <w:iCs/>
          <w:sz w:val="21"/>
          <w:szCs w:val="21"/>
        </w:rPr>
        <w:t>Situación actual en día peak por sucursal, subtotal Peñaflor y consolidado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230"/>
        <w:gridCol w:w="1235"/>
        <w:gridCol w:w="1140"/>
        <w:gridCol w:w="950"/>
        <w:gridCol w:w="1425"/>
        <w:gridCol w:w="1520"/>
      </w:tblGrid>
      <w:tr>
        <w:trPr>
          <w:tblHeader/>
        </w:trPr>
        <w:tc>
          <w:tcPr>
            <w:tcW w:w="32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Sucursal</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Demanda (llegan)</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Atendidos</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Se van</w:t>
            </w:r>
          </w:p>
        </w:tc>
        <w:tc>
          <w:tcPr>
            <w:tcW w:w="142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Tasa de atención</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 pérdida (abandono)</w:t>
            </w:r>
          </w:p>
        </w:tc>
      </w:tr>
      <w:tr>
        <w:trPr>
          <w:cantSplit/>
        </w:trPr>
        <w:tc>
          <w:tcPr>
            <w:tcW w:w="32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Peñaflor – Sucursal 21 de Mayo</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82</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70</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12</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85,4%</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14,6%</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Peñaflor – Sucursal Alcalde Luis Araya Cereceda</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37</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81,1%</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18,9%</w:t>
            </w:r>
          </w:p>
        </w:tc>
      </w:tr>
      <w:tr>
        <w:trPr>
          <w:cantSplit/>
        </w:trPr>
        <w:tc>
          <w:tcPr>
            <w:tcW w:w="323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Subtotal Peñaflor</w:t>
            </w:r>
          </w:p>
        </w:tc>
        <w:tc>
          <w:tcPr>
            <w:tcW w:w="123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119</w:t>
            </w:r>
          </w:p>
        </w:tc>
        <w:tc>
          <w:tcPr>
            <w:tcW w:w="114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100</w:t>
            </w:r>
          </w:p>
        </w:tc>
        <w:tc>
          <w:tcPr>
            <w:tcW w:w="95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19</w:t>
            </w:r>
          </w:p>
        </w:tc>
        <w:tc>
          <w:tcPr>
            <w:tcW w:w="142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84,0%</w:t>
            </w:r>
          </w:p>
        </w:tc>
        <w:tc>
          <w:tcPr>
            <w:tcW w:w="152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16,0%</w:t>
            </w:r>
          </w:p>
        </w:tc>
      </w:tr>
      <w:tr>
        <w:trPr>
          <w:cantSplit/>
        </w:trPr>
        <w:tc>
          <w:tcPr>
            <w:tcW w:w="32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Talagante</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37</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7</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81,1%</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18,9%</w:t>
            </w:r>
          </w:p>
        </w:tc>
      </w:tr>
      <w:tr>
        <w:trPr>
          <w:cantSplit/>
        </w:trPr>
        <w:tc>
          <w:tcPr>
            <w:tcW w:w="323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Total consolidado</w:t>
            </w:r>
          </w:p>
        </w:tc>
        <w:tc>
          <w:tcPr>
            <w:tcW w:w="123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156</w:t>
            </w:r>
          </w:p>
        </w:tc>
        <w:tc>
          <w:tcPr>
            <w:tcW w:w="114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130</w:t>
            </w:r>
          </w:p>
        </w:tc>
        <w:tc>
          <w:tcPr>
            <w:tcW w:w="95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26</w:t>
            </w:r>
          </w:p>
        </w:tc>
        <w:tc>
          <w:tcPr>
            <w:tcW w:w="142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83,3%</w:t>
            </w:r>
          </w:p>
        </w:tc>
        <w:tc>
          <w:tcPr>
            <w:tcW w:w="152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16,7%</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Elaboración propia con datos entregados por el negocio (días de mayor demanda). Demanda = atendidos + clientes que se van (supuesto S-01).</w:t>
      </w:r>
    </w:p>
    <w:p>
      <w:pPr>
        <w:keepNext/>
        <w:spacing w:before="160" w:after="0"/>
      </w:pPr>
      <w:r>
        <w:rPr>
          <w:rFonts w:ascii="Arial" w:hAnsi="Arial" w:cs="Arial" w:eastAsia="Arial"/>
          <w:b/>
          <w:bCs/>
          <w:sz w:val="21"/>
          <w:szCs w:val="21"/>
        </w:rPr>
        <w:t>Tabla 2</w:t>
      </w:r>
    </w:p>
    <w:p>
      <w:pPr>
        <w:keepNext/>
        <w:spacing w:before="0" w:after="80"/>
      </w:pPr>
      <w:r>
        <w:rPr>
          <w:rFonts w:ascii="Arial" w:hAnsi="Arial" w:cs="Arial" w:eastAsia="Arial"/>
          <w:i/>
          <w:iCs/>
          <w:sz w:val="21"/>
          <w:szCs w:val="21"/>
        </w:rPr>
        <w:t>Clientes e ingresos perdidos por período (días peak + días normales)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660"/>
        <w:gridCol w:w="950"/>
        <w:gridCol w:w="950"/>
        <w:gridCol w:w="950"/>
        <w:gridCol w:w="1045"/>
        <w:gridCol w:w="1425"/>
        <w:gridCol w:w="1520"/>
      </w:tblGrid>
      <w:tr>
        <w:trPr>
          <w:tblHeader/>
        </w:trPr>
        <w:tc>
          <w:tcPr>
            <w:tcW w:w="26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Sucursal</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Perdidos / día peak</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Perdidos / semana</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Perdidos / mes</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Perdidos / año</w:t>
            </w:r>
          </w:p>
        </w:tc>
        <w:tc>
          <w:tcPr>
            <w:tcW w:w="142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Ingreso perdido / mes</w:t>
            </w:r>
          </w:p>
        </w:tc>
        <w:tc>
          <w:tcPr>
            <w:tcW w:w="152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6"/>
                <w:szCs w:val="16"/>
              </w:rPr>
              <w:t>Ingreso perdido / año</w:t>
            </w:r>
          </w:p>
        </w:tc>
      </w:tr>
      <w:tr>
        <w:trPr>
          <w:cantSplit/>
        </w:trPr>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Peñaflor – Sucursal 21 de Mayo</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12</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38,4</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166,4</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1.996,8</w:t>
            </w:r>
          </w:p>
        </w:tc>
        <w:tc>
          <w:tcPr>
            <w:tcW w:w="1425"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$1.980.160</w:t>
            </w:r>
          </w:p>
        </w:tc>
        <w:tc>
          <w:tcPr>
            <w:tcW w:w="1520" w:type="dx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$23.761.920</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Peñaflor – Sucursal Alcalde Luis Araya Cereceda</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7</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22,4</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97,1</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1.164,8</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$1.155.093</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$13.861.120</w:t>
            </w:r>
          </w:p>
        </w:tc>
      </w:tr>
      <w:tr>
        <w:trPr>
          <w:cantSplit/>
        </w:trPr>
        <w:tc>
          <w:tcPr>
            <w:tcW w:w="266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Subtotal Peñaflor</w:t>
            </w:r>
          </w:p>
        </w:tc>
        <w:tc>
          <w:tcPr>
            <w:tcW w:w="95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19</w:t>
            </w:r>
          </w:p>
        </w:tc>
        <w:tc>
          <w:tcPr>
            <w:tcW w:w="95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60,8</w:t>
            </w:r>
          </w:p>
        </w:tc>
        <w:tc>
          <w:tcPr>
            <w:tcW w:w="95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263,5</w:t>
            </w:r>
          </w:p>
        </w:tc>
        <w:tc>
          <w:tcPr>
            <w:tcW w:w="104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3.161,6</w:t>
            </w:r>
          </w:p>
        </w:tc>
        <w:tc>
          <w:tcPr>
            <w:tcW w:w="1425"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$3.135.253</w:t>
            </w:r>
          </w:p>
        </w:tc>
        <w:tc>
          <w:tcPr>
            <w:tcW w:w="1520" w:type="dxa"/>
            <w:shd w:val="clear" w:color="auto" w:fill="E2EAF4"/>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$37.623.040</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Talagante</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7</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22,4</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97,1</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1.164,8</w:t>
            </w:r>
          </w:p>
        </w:tc>
        <w:tc>
          <w:tcPr>
            <w:tcW w:w="14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$1.155.093</w:t>
            </w:r>
          </w:p>
        </w:tc>
        <w:tc>
          <w:tcPr>
            <w:tcW w:w="152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$13.861.120</w:t>
            </w:r>
          </w:p>
        </w:tc>
      </w:tr>
      <w:tr>
        <w:trPr>
          <w:cantSplit/>
        </w:trPr>
        <w:tc>
          <w:tcPr>
            <w:tcW w:w="266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Total consolidado</w:t>
            </w:r>
          </w:p>
        </w:tc>
        <w:tc>
          <w:tcPr>
            <w:tcW w:w="95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26</w:t>
            </w:r>
          </w:p>
        </w:tc>
        <w:tc>
          <w:tcPr>
            <w:tcW w:w="95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83,2</w:t>
            </w:r>
          </w:p>
        </w:tc>
        <w:tc>
          <w:tcPr>
            <w:tcW w:w="95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360,5</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4.326,4</w:t>
            </w:r>
          </w:p>
        </w:tc>
        <w:tc>
          <w:tcPr>
            <w:tcW w:w="142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$4.290.347</w:t>
            </w:r>
          </w:p>
        </w:tc>
        <w:tc>
          <w:tcPr>
            <w:tcW w:w="152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6"/>
                <w:szCs w:val="16"/>
              </w:rPr>
              <w:t>$51.484.160</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Elaboración propia. Proyección con los supuestos S-02 a S-07.</w:t>
      </w:r>
    </w:p>
    <w:p>
      <w:pPr>
        <w:spacing w:before="0" w:after="120" w:line="276" w:lineRule="auto"/>
        <w:jc w:val="both"/>
      </w:pPr>
      <w:r>
        <w:rPr>
          <w:rFonts w:ascii="Arial" w:hAnsi="Arial" w:cs="Arial" w:eastAsia="Arial"/>
          <w:sz w:val="22"/>
          <w:szCs w:val="22"/>
        </w:rPr>
        <w:t>Con escenarios de recuperación del 30%, 50% y 70% de los clientes perdidos, la plataforma permitiría capturar entre $15.445.248 y $36.038.912 de ingresos adicionales al año (detalle en el Plan de Costos, documento 08). Como el servicio real de cada cliente perdido es desconocido, se presenta además un rango de sensibilidad entre el servicio principal más económico y el más caro:</w:t>
      </w:r>
    </w:p>
    <w:p>
      <w:pPr>
        <w:keepNext/>
        <w:spacing w:before="160" w:after="0"/>
      </w:pPr>
      <w:r>
        <w:rPr>
          <w:rFonts w:ascii="Arial" w:hAnsi="Arial" w:cs="Arial" w:eastAsia="Arial"/>
          <w:b/>
          <w:bCs/>
          <w:sz w:val="21"/>
          <w:szCs w:val="21"/>
        </w:rPr>
        <w:t>Tabla 3</w:t>
      </w:r>
    </w:p>
    <w:p>
      <w:pPr>
        <w:keepNext/>
        <w:spacing w:before="0" w:after="80"/>
      </w:pPr>
      <w:r>
        <w:rPr>
          <w:rFonts w:ascii="Arial" w:hAnsi="Arial" w:cs="Arial" w:eastAsia="Arial"/>
          <w:i/>
          <w:iCs/>
          <w:sz w:val="21"/>
          <w:szCs w:val="21"/>
        </w:rPr>
        <w:t>Análisis de sensibilidad del precio de referencia (consolidado)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1805"/>
        <w:gridCol w:w="950"/>
        <w:gridCol w:w="1045"/>
        <w:gridCol w:w="1140"/>
        <w:gridCol w:w="1235"/>
        <w:gridCol w:w="1235"/>
        <w:gridCol w:w="1045"/>
        <w:gridCol w:w="1045"/>
      </w:tblGrid>
      <w:tr>
        <w:trPr>
          <w:tblHeader/>
        </w:trPr>
        <w:tc>
          <w:tcPr>
            <w:tcW w:w="180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Precio de referencia</w:t>
            </w:r>
          </w:p>
        </w:tc>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Precio</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Pérdida / día peak</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Pérdida / mes</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Pérdida / año</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Ganancia adicional / año (50%)</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ROI (30% / 50%)</w:t>
            </w:r>
          </w:p>
        </w:tc>
        <w:tc>
          <w:tcPr>
            <w:tcW w:w="104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5"/>
                <w:szCs w:val="15"/>
              </w:rPr>
              <w:t>Recuperación (50%)</w:t>
            </w:r>
          </w:p>
        </w:tc>
      </w:tr>
      <w:tr>
        <w:trPr>
          <w:cantSplit/>
        </w:trPr>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Barba (mínimo)</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$8.330</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$216.580</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$3.003.243</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$36.038.912</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$18.019.456</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177% / 366%</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2,6 meses</w:t>
            </w:r>
          </w:p>
        </w:tc>
      </w:tr>
      <w:tr>
        <w:trPr>
          <w:cantSplit/>
        </w:trPr>
        <w:tc>
          <w:tcPr>
            <w:tcW w:w="180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Corte (oficial)</w:t>
            </w:r>
          </w:p>
        </w:tc>
        <w:tc>
          <w:tcPr>
            <w:tcW w:w="95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$11.900</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$309.400</w:t>
            </w:r>
          </w:p>
        </w:tc>
        <w:tc>
          <w:tcPr>
            <w:tcW w:w="1140"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$4.290.347</w:t>
            </w:r>
          </w:p>
        </w:tc>
        <w:tc>
          <w:tcPr>
            <w:tcW w:w="123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$51.484.160</w:t>
            </w:r>
          </w:p>
        </w:tc>
        <w:tc>
          <w:tcPr>
            <w:tcW w:w="123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$25.742.080</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298% / 567%</w:t>
            </w:r>
          </w:p>
        </w:tc>
        <w:tc>
          <w:tcPr>
            <w:tcW w:w="1045" w:type="dxa"/>
            <w:shd w:val="clear" w:color="auto" w:fill="D9E2F3"/>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1,8 meses</w:t>
            </w:r>
          </w:p>
        </w:tc>
      </w:tr>
      <w:tr>
        <w:trPr>
          <w:cantSplit/>
        </w:trPr>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Corte + Cejas</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$15.470</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$402.220</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$5.577.451</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$66.929.408</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$33.464.704</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419% / 769%</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1,4 meses</w:t>
            </w:r>
          </w:p>
        </w:tc>
      </w:tr>
      <w:tr>
        <w:trPr>
          <w:cantSplit/>
        </w:trPr>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Corte + Cejas + Lavado</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$17.850</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$464.100</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$6.435.520</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$77.226.240</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$38.613.120</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499% / 903%</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1,2 meses</w:t>
            </w:r>
          </w:p>
        </w:tc>
      </w:tr>
      <w:tr>
        <w:trPr>
          <w:cantSplit/>
        </w:trPr>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Corte + Barba</w:t>
            </w:r>
          </w:p>
        </w:tc>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$20.230</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$525.980</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$7.293.589</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$87.523.072</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$43.761.536</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580% / 1.037%</w:t>
            </w:r>
          </w:p>
        </w:tc>
        <w:tc>
          <w:tcPr>
            <w:tcW w:w="1045" w:type="dx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1,1 meses</w:t>
            </w:r>
          </w:p>
        </w:tc>
      </w:tr>
      <w:tr>
        <w:trPr>
          <w:cantSplit/>
        </w:trPr>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S. Completo (máximo)</w:t>
            </w:r>
          </w:p>
        </w:tc>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$23.800</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$618.800</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$8.580.693</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$102.968.320</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$51.484.160</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701% / 1.239%</w:t>
            </w:r>
          </w:p>
        </w:tc>
        <w:tc>
          <w:tcPr>
            <w:tcW w:w="104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5"/>
                <w:szCs w:val="15"/>
              </w:rPr>
              <w:t>0,9 meses</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Elaboración propia. La fila destacada (Corte) es el valor oficial de los KPIs. El rango usa los servicios principales, desde el más económico (Barba) hasta el más caro (S. Completo); los complementos (lavado, cejas, mascarillas) se excluyen porque no se pueden agendar y no constituyen una visita por sí solos (S-20). La pérdida por día peak considera los 26 clientes que se van.</w:t>
      </w:r>
    </w:p>
    <w:p>
      <w:pPr>
        <w:pStyle w:val="Heading1"/>
        <w:keepNext/>
        <w:spacing w:before="360" w:after="160"/>
      </w:pPr>
      <w:r>
        <w:rPr>
          <w:rFonts w:ascii="Arial" w:hAnsi="Arial" w:cs="Arial" w:eastAsia="Arial"/>
          <w:b/>
          <w:bCs/>
          <w:color w:val="1F3864"/>
          <w:sz w:val="28"/>
          <w:szCs w:val="28"/>
        </w:rPr>
        <w:t>2. Descripción del Alcance del Producto</w:t>
      </w:r>
    </w:p>
    <w:p>
      <w:pPr>
        <w:spacing w:before="0" w:after="120" w:line="276" w:lineRule="auto"/>
        <w:jc w:val="both"/>
      </w:pPr>
      <w:r>
        <w:rPr>
          <w:rFonts w:ascii="Arial" w:hAnsi="Arial" w:cs="Arial" w:eastAsia="Arial"/>
          <w:sz w:val="22"/>
          <w:szCs w:val="22"/>
        </w:rPr>
        <w:t xml:space="preserve">El producto es una plataforma compuesta por un </w:t>
      </w:r>
      <w:r>
        <w:rPr>
          <w:rFonts w:ascii="Arial" w:hAnsi="Arial" w:cs="Arial" w:eastAsia="Arial"/>
          <w:b/>
          <w:bCs/>
          <w:sz w:val="22"/>
          <w:szCs w:val="22"/>
        </w:rPr>
        <w:t>sitio web</w:t>
      </w:r>
      <w:r>
        <w:rPr>
          <w:rFonts w:ascii="Arial" w:hAnsi="Arial" w:cs="Arial" w:eastAsia="Arial"/>
          <w:sz w:val="22"/>
          <w:szCs w:val="22"/>
        </w:rPr>
        <w:t xml:space="preserve"> y una </w:t>
      </w:r>
      <w:r>
        <w:rPr>
          <w:rFonts w:ascii="Arial" w:hAnsi="Arial" w:cs="Arial" w:eastAsia="Arial"/>
          <w:b/>
          <w:bCs/>
          <w:sz w:val="22"/>
          <w:szCs w:val="22"/>
        </w:rPr>
        <w:t>app Android</w:t>
      </w:r>
      <w:r>
        <w:rPr>
          <w:rFonts w:ascii="Arial" w:hAnsi="Arial" w:cs="Arial" w:eastAsia="Arial"/>
          <w:sz w:val="22"/>
          <w:szCs w:val="22"/>
        </w:rPr>
        <w:t xml:space="preserve">, conectadas a una </w:t>
      </w:r>
      <w:r>
        <w:rPr>
          <w:rFonts w:ascii="Arial" w:hAnsi="Arial" w:cs="Arial" w:eastAsia="Arial"/>
          <w:b/>
          <w:bCs/>
          <w:sz w:val="22"/>
          <w:szCs w:val="22"/>
        </w:rPr>
        <w:t>API REST</w:t>
      </w:r>
      <w:r>
        <w:rPr>
          <w:rFonts w:ascii="Arial" w:hAnsi="Arial" w:cs="Arial" w:eastAsia="Arial"/>
          <w:sz w:val="22"/>
          <w:szCs w:val="22"/>
        </w:rPr>
        <w:t xml:space="preserve"> y a una </w:t>
      </w:r>
      <w:r>
        <w:rPr>
          <w:rFonts w:ascii="Arial" w:hAnsi="Arial" w:cs="Arial" w:eastAsia="Arial"/>
          <w:b/>
          <w:bCs/>
          <w:sz w:val="22"/>
          <w:szCs w:val="22"/>
        </w:rPr>
        <w:t>base de datos relacional PostgreSQL</w:t>
      </w:r>
      <w:r>
        <w:rPr>
          <w:rFonts w:ascii="Arial" w:hAnsi="Arial" w:cs="Arial" w:eastAsia="Arial"/>
          <w:sz w:val="22"/>
          <w:szCs w:val="22"/>
        </w:rPr>
        <w:t xml:space="preserve"> centralizada, que gestiona las tres sucursales:</w:t>
      </w:r>
    </w:p>
    <w:p>
      <w:pPr>
        <w:keepNext/>
        <w:spacing w:before="160" w:after="0"/>
      </w:pPr>
      <w:r>
        <w:rPr>
          <w:rFonts w:ascii="Arial" w:hAnsi="Arial" w:cs="Arial" w:eastAsia="Arial"/>
          <w:b/>
          <w:bCs/>
          <w:sz w:val="21"/>
          <w:szCs w:val="21"/>
        </w:rPr>
        <w:t>Tabla 4</w:t>
      </w:r>
    </w:p>
    <w:p>
      <w:pPr>
        <w:keepNext/>
        <w:spacing w:before="0" w:after="80"/>
      </w:pPr>
      <w:r>
        <w:rPr>
          <w:rFonts w:ascii="Arial" w:hAnsi="Arial" w:cs="Arial" w:eastAsia="Arial"/>
          <w:i/>
          <w:iCs/>
          <w:sz w:val="21"/>
          <w:szCs w:val="21"/>
        </w:rPr>
        <w:t>Descripción del Alcance del Producto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950"/>
        <w:gridCol w:w="3610"/>
        <w:gridCol w:w="3040"/>
        <w:gridCol w:w="1900"/>
      </w:tblGrid>
      <w:tr>
        <w:trPr>
          <w:tblHeader/>
        </w:trPr>
        <w:tc>
          <w:tcPr>
            <w:tcW w:w="9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Código</w:t>
            </w:r>
          </w:p>
        </w:tc>
        <w:tc>
          <w:tcPr>
            <w:tcW w:w="361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Sucursal</w:t>
            </w:r>
          </w:p>
        </w:tc>
        <w:tc>
          <w:tcPr>
            <w:tcW w:w="30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Dirección</w:t>
            </w:r>
          </w:p>
        </w:tc>
        <w:tc>
          <w:tcPr>
            <w:tcW w:w="19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Rol</w:t>
            </w:r>
          </w:p>
        </w:tc>
      </w:tr>
      <w:tr>
        <w:trPr>
          <w:cantSplit/>
        </w:trPr>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SUC-01</w:t>
            </w:r>
          </w:p>
        </w:tc>
        <w:tc>
          <w:tcPr>
            <w:tcW w:w="36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Peñaflor – Sucursal 21 de Mayo</w:t>
            </w:r>
          </w:p>
        </w:tc>
        <w:tc>
          <w:tcPr>
            <w:tcW w:w="30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21 de Mayo 4566, Peñaflor</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Sucursal principal y casa matriz</w:t>
            </w:r>
          </w:p>
        </w:tc>
      </w:tr>
      <w:tr>
        <w:trPr>
          <w:cantSplit/>
        </w:trPr>
        <w:tc>
          <w:tcPr>
            <w:tcW w:w="9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SUC-02</w:t>
            </w:r>
          </w:p>
        </w:tc>
        <w:tc>
          <w:tcPr>
            <w:tcW w:w="36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Peñaflor – Sucursal Alcalde Luis Araya Cereceda</w:t>
            </w:r>
          </w:p>
        </w:tc>
        <w:tc>
          <w:tcPr>
            <w:tcW w:w="30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Alcalde Luis Araya Cereceda 4387, Peñaflor</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Sucursal</w:t>
            </w:r>
          </w:p>
        </w:tc>
      </w:tr>
      <w:tr>
        <w:trPr>
          <w:cantSplit/>
        </w:trPr>
        <w:tc>
          <w:tcPr>
            <w:tcW w:w="9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SUC-03</w:t>
            </w:r>
          </w:p>
        </w:tc>
        <w:tc>
          <w:tcPr>
            <w:tcW w:w="36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Talagante</w:t>
            </w:r>
          </w:p>
        </w:tc>
        <w:tc>
          <w:tcPr>
            <w:tcW w:w="30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Boulevard del Centro, local 3, Talagante</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Sucursal</w:t>
            </w:r>
          </w:p>
        </w:tc>
      </w:tr>
    </w:tbl>
    <w:p>
      <w:pPr>
        <w:spacing w:before="0" w:after="60"/>
      </w:pPr>
    </w:p>
    <w:p>
      <w:pPr>
        <w:keepNext/>
        <w:spacing w:before="160" w:after="0"/>
      </w:pPr>
      <w:r>
        <w:rPr>
          <w:rFonts w:ascii="Arial" w:hAnsi="Arial" w:cs="Arial" w:eastAsia="Arial"/>
          <w:b/>
          <w:bCs/>
          <w:sz w:val="21"/>
          <w:szCs w:val="21"/>
        </w:rPr>
        <w:t>Tabla 5</w:t>
      </w:r>
    </w:p>
    <w:p>
      <w:pPr>
        <w:keepNext/>
        <w:spacing w:before="0" w:after="80"/>
      </w:pPr>
      <w:r>
        <w:rPr>
          <w:rFonts w:ascii="Arial" w:hAnsi="Arial" w:cs="Arial" w:eastAsia="Arial"/>
          <w:i/>
          <w:iCs/>
          <w:sz w:val="21"/>
          <w:szCs w:val="21"/>
        </w:rPr>
        <w:t>Catálogo de servicios y precios vigentes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850"/>
        <w:gridCol w:w="1235"/>
        <w:gridCol w:w="1805"/>
        <w:gridCol w:w="1140"/>
        <w:gridCol w:w="2470"/>
      </w:tblGrid>
      <w:tr>
        <w:trPr>
          <w:tblHeader/>
        </w:trPr>
        <w:tc>
          <w:tcPr>
            <w:tcW w:w="28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Servicio</w:t>
            </w:r>
          </w:p>
        </w:tc>
        <w:tc>
          <w:tcPr>
            <w:tcW w:w="123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Precio</w:t>
            </w:r>
          </w:p>
        </w:tc>
        <w:tc>
          <w:tcPr>
            <w:tcW w:w="180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Tipo</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Duración</w:t>
            </w:r>
          </w:p>
        </w:tc>
        <w:tc>
          <w:tcPr>
            <w:tcW w:w="247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Agendable en línea</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Corte</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$11.900</w:t>
            </w:r>
          </w:p>
        </w:tc>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Servicio principal</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40 min</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Corte + Cejas</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$15.470</w:t>
            </w:r>
          </w:p>
        </w:tc>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Combo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45 min</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Corte + Barba</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$20.230</w:t>
            </w:r>
          </w:p>
        </w:tc>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Combo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50 min</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 Completo</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$23.800</w:t>
            </w:r>
          </w:p>
        </w:tc>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Combo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60 min</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Corte + Cejas + Lavado</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$17.850</w:t>
            </w:r>
          </w:p>
        </w:tc>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Combo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55 min</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Lavado</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$3.570</w:t>
            </w:r>
          </w:p>
        </w:tc>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Complemento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 min</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No (se solicita en el local)</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Barba</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$8.330</w:t>
            </w:r>
          </w:p>
        </w:tc>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Servicio principal</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 min</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Sí</w:t>
            </w:r>
          </w:p>
        </w:tc>
      </w:tr>
      <w:tr>
        <w:trPr>
          <w:cantSplit/>
        </w:trPr>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Cejas</w:t>
            </w:r>
          </w:p>
        </w:tc>
        <w:tc>
          <w:tcPr>
            <w:tcW w:w="123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$3.570</w:t>
            </w:r>
          </w:p>
        </w:tc>
        <w:tc>
          <w:tcPr>
            <w:tcW w:w="180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Complemento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 min</w:t>
            </w:r>
          </w:p>
        </w:tc>
        <w:tc>
          <w:tcPr>
            <w:tcW w:w="247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No (se solicita en el local)</w:t>
            </w:r>
          </w:p>
        </w:tc>
      </w:tr>
      <w:tr>
        <w:trPr>
          <w:cantSplit/>
        </w:trPr>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Mascarillas Faciales</w:t>
            </w:r>
          </w:p>
        </w:tc>
        <w:tc>
          <w:tcPr>
            <w:tcW w:w="123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$2.380</w:t>
            </w:r>
          </w:p>
        </w:tc>
        <w:tc>
          <w:tcPr>
            <w:tcW w:w="180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Complemento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 min</w:t>
            </w:r>
          </w:p>
        </w:tc>
        <w:tc>
          <w:tcPr>
            <w:tcW w:w="247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No (se solicita en el local)</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Precios entregados por el negocio el 06-10-2026. El abono de $3.000 se descuenta del precio del servicio. Duración máxima confirmada: 60 minutos (S. Completo); las demás son estimaciones menores (S-21). Los complementos de bajo costo no se agendan en línea (S-20, confirmado el 07-10-2026).</w:t>
      </w:r>
    </w:p>
    <w:p>
      <w:pPr>
        <w:numPr>
          <w:ilvl w:val="0"/>
          <w:numId w:val="1"/>
        </w:numPr>
        <w:spacing w:before="0" w:after="60" w:line="264" w:lineRule="auto"/>
        <w:ind w:left="540" w:hanging="270"/>
      </w:pPr>
      <w:r>
        <w:rPr>
          <w:rFonts w:ascii="Arial" w:hAnsi="Arial" w:cs="Arial" w:eastAsia="Arial"/>
          <w:sz w:val="22"/>
          <w:szCs w:val="22"/>
        </w:rPr>
        <w:t>Cuentas de cliente con datos mínimos, ingreso como invitado y pop-up promocional que incentiva crear perfil.</w:t>
      </w:r>
    </w:p>
    <w:p>
      <w:pPr>
        <w:numPr>
          <w:ilvl w:val="0"/>
          <w:numId w:val="1"/>
        </w:numPr>
        <w:spacing w:before="0" w:after="60" w:line="264" w:lineRule="auto"/>
        <w:ind w:left="540" w:hanging="270"/>
      </w:pPr>
      <w:r>
        <w:rPr>
          <w:rFonts w:ascii="Arial" w:hAnsi="Arial" w:cs="Arial" w:eastAsia="Arial"/>
          <w:sz w:val="22"/>
          <w:szCs w:val="22"/>
        </w:rPr>
        <w:t xml:space="preserve">Agendamiento asistido (sucursal → barbero → servicio → fecha → hora) con </w:t>
      </w:r>
      <w:r>
        <w:rPr>
          <w:rFonts w:ascii="Arial" w:hAnsi="Arial" w:cs="Arial" w:eastAsia="Arial"/>
          <w:b/>
          <w:bCs/>
          <w:sz w:val="22"/>
          <w:szCs w:val="22"/>
        </w:rPr>
        <w:t>abono de reserva de $3.000 CLP</w:t>
      </w:r>
      <w:r>
        <w:rPr>
          <w:rFonts w:ascii="Arial" w:hAnsi="Arial" w:cs="Arial" w:eastAsia="Arial"/>
          <w:sz w:val="22"/>
          <w:szCs w:val="22"/>
        </w:rPr>
        <w:t xml:space="preserve"> fijo para todos los servicios, parametrizable por sucursal y/o servicio, que se descuenta del servicio. Sin abono la cita no queda tomada.</w:t>
      </w:r>
    </w:p>
    <w:p>
      <w:pPr>
        <w:numPr>
          <w:ilvl w:val="0"/>
          <w:numId w:val="1"/>
        </w:numPr>
        <w:spacing w:before="0" w:after="60" w:line="264" w:lineRule="auto"/>
        <w:ind w:left="540" w:hanging="270"/>
      </w:pPr>
      <w:r>
        <w:rPr>
          <w:rFonts w:ascii="Arial" w:hAnsi="Arial" w:cs="Arial" w:eastAsia="Arial"/>
          <w:sz w:val="22"/>
          <w:szCs w:val="22"/>
        </w:rPr>
        <w:t>Reglas de reagendamiento: con al menos 24 horas de anticipación y máximo 2 veces con el mismo abono; anulación dentro de las 24 horas o inasistencia implica la pérdida del abono.</w:t>
      </w:r>
    </w:p>
    <w:p>
      <w:pPr>
        <w:numPr>
          <w:ilvl w:val="0"/>
          <w:numId w:val="1"/>
        </w:numPr>
        <w:spacing w:before="0" w:after="60" w:line="264" w:lineRule="auto"/>
        <w:ind w:left="540" w:hanging="270"/>
      </w:pPr>
      <w:r>
        <w:rPr>
          <w:rFonts w:ascii="Arial" w:hAnsi="Arial" w:cs="Arial" w:eastAsia="Arial"/>
          <w:sz w:val="22"/>
          <w:szCs w:val="22"/>
        </w:rPr>
        <w:t xml:space="preserve">Atención por orden de llegada digital (fila, llamado, abandono) que </w:t>
      </w:r>
      <w:r>
        <w:rPr>
          <w:rFonts w:ascii="Arial" w:hAnsi="Arial" w:cs="Arial" w:eastAsia="Arial"/>
          <w:b/>
          <w:bCs/>
          <w:sz w:val="22"/>
          <w:szCs w:val="22"/>
        </w:rPr>
        <w:t>complementa</w:t>
      </w:r>
      <w:r>
        <w:rPr>
          <w:rFonts w:ascii="Arial" w:hAnsi="Arial" w:cs="Arial" w:eastAsia="Arial"/>
          <w:sz w:val="22"/>
          <w:szCs w:val="22"/>
        </w:rPr>
        <w:t xml:space="preserve"> la atención presencial.</w:t>
      </w:r>
    </w:p>
    <w:p>
      <w:pPr>
        <w:numPr>
          <w:ilvl w:val="0"/>
          <w:numId w:val="1"/>
        </w:numPr>
        <w:spacing w:before="0" w:after="60" w:line="264" w:lineRule="auto"/>
        <w:ind w:left="540" w:hanging="270"/>
      </w:pPr>
      <w:r>
        <w:rPr>
          <w:rFonts w:ascii="Arial" w:hAnsi="Arial" w:cs="Arial" w:eastAsia="Arial"/>
          <w:sz w:val="22"/>
          <w:szCs w:val="22"/>
        </w:rPr>
        <w:t xml:space="preserve">Registro digital de atenciones y montos que </w:t>
      </w:r>
      <w:r>
        <w:rPr>
          <w:rFonts w:ascii="Arial" w:hAnsi="Arial" w:cs="Arial" w:eastAsia="Arial"/>
          <w:b/>
          <w:bCs/>
          <w:sz w:val="22"/>
          <w:szCs w:val="22"/>
        </w:rPr>
        <w:t>reemplaza por completo</w:t>
      </w:r>
      <w:r>
        <w:rPr>
          <w:rFonts w:ascii="Arial" w:hAnsi="Arial" w:cs="Arial" w:eastAsia="Arial"/>
          <w:sz w:val="22"/>
          <w:szCs w:val="22"/>
        </w:rPr>
        <w:t xml:space="preserve"> la planilla Excel.</w:t>
      </w:r>
    </w:p>
    <w:p>
      <w:pPr>
        <w:numPr>
          <w:ilvl w:val="0"/>
          <w:numId w:val="1"/>
        </w:numPr>
        <w:spacing w:before="0" w:after="60" w:line="264" w:lineRule="auto"/>
        <w:ind w:left="540" w:hanging="270"/>
      </w:pPr>
      <w:r>
        <w:rPr>
          <w:rFonts w:ascii="Arial" w:hAnsi="Arial" w:cs="Arial" w:eastAsia="Arial"/>
          <w:sz w:val="22"/>
          <w:szCs w:val="22"/>
        </w:rPr>
        <w:t>Perfiles: cliente registrado, invitado, barbero, administrador de sucursal y dueño/administrador general.</w:t>
      </w:r>
    </w:p>
    <w:p>
      <w:pPr>
        <w:numPr>
          <w:ilvl w:val="0"/>
          <w:numId w:val="1"/>
        </w:numPr>
        <w:spacing w:before="0" w:after="60" w:line="264" w:lineRule="auto"/>
        <w:ind w:left="540" w:hanging="270"/>
      </w:pPr>
      <w:r>
        <w:rPr>
          <w:rFonts w:ascii="Arial" w:hAnsi="Arial" w:cs="Arial" w:eastAsia="Arial"/>
          <w:sz w:val="22"/>
          <w:szCs w:val="22"/>
        </w:rPr>
        <w:t>Notificaciones de confirmación, recordatorio y cancelación; fidelización (cupón de bienvenida, puntos, ruleta, códigos).</w:t>
      </w:r>
    </w:p>
    <w:p>
      <w:pPr>
        <w:numPr>
          <w:ilvl w:val="0"/>
          <w:numId w:val="1"/>
        </w:numPr>
        <w:spacing w:before="0" w:after="60" w:line="264" w:lineRule="auto"/>
        <w:ind w:left="540" w:hanging="270"/>
      </w:pPr>
      <w:r>
        <w:rPr>
          <w:rFonts w:ascii="Arial" w:hAnsi="Arial" w:cs="Arial" w:eastAsia="Arial"/>
          <w:sz w:val="22"/>
          <w:szCs w:val="22"/>
        </w:rPr>
        <w:t>Dashboard de KPIs por sucursal, subtotal Peñaflor y consolidado; reportes exportables.</w:t>
      </w:r>
    </w:p>
    <w:p>
      <w:pPr>
        <w:numPr>
          <w:ilvl w:val="0"/>
          <w:numId w:val="1"/>
        </w:numPr>
        <w:spacing w:before="0" w:after="60" w:line="264" w:lineRule="auto"/>
        <w:ind w:left="540" w:hanging="270"/>
      </w:pPr>
      <w:r>
        <w:rPr>
          <w:rFonts w:ascii="Arial" w:hAnsi="Arial" w:cs="Arial" w:eastAsia="Arial"/>
          <w:b/>
          <w:bCs/>
          <w:sz w:val="22"/>
          <w:szCs w:val="22"/>
        </w:rPr>
        <w:t>Cumplimiento anticipado de la Ley N° 21.719</w:t>
      </w:r>
      <w:r>
        <w:rPr>
          <w:rFonts w:ascii="Arial" w:hAnsi="Arial" w:cs="Arial" w:eastAsia="Arial"/>
          <w:sz w:val="22"/>
          <w:szCs w:val="22"/>
        </w:rPr>
        <w:t xml:space="preserve"> (Ley N° 21.719, 2024): consentimiento versionado, consentimiento promocional separado, módulo «Mis datos» (acceso, rectificación, supresión, oposición, portabilidad y bloqueo), auditoría, retención automática, procedimiento de brechas y registro de actividades de tratamiento.</w:t>
      </w:r>
    </w:p>
    <w:p>
      <w:pPr>
        <w:pStyle w:val="Heading1"/>
        <w:keepNext/>
        <w:spacing w:before="360" w:after="160"/>
      </w:pPr>
      <w:r>
        <w:rPr>
          <w:rFonts w:ascii="Arial" w:hAnsi="Arial" w:cs="Arial" w:eastAsia="Arial"/>
          <w:b/>
          <w:bCs/>
          <w:color w:val="1F3864"/>
          <w:sz w:val="28"/>
          <w:szCs w:val="28"/>
        </w:rPr>
        <w:t>3. Entregables del Proyecto</w:t>
      </w:r>
    </w:p>
    <w:p>
      <w:pPr>
        <w:keepNext/>
        <w:spacing w:before="160" w:after="0"/>
      </w:pPr>
      <w:r>
        <w:rPr>
          <w:rFonts w:ascii="Arial" w:hAnsi="Arial" w:cs="Arial" w:eastAsia="Arial"/>
          <w:b/>
          <w:bCs/>
          <w:sz w:val="21"/>
          <w:szCs w:val="21"/>
        </w:rPr>
        <w:t>Tabla 6</w:t>
      </w:r>
    </w:p>
    <w:p>
      <w:pPr>
        <w:keepNext/>
        <w:spacing w:before="0" w:after="80"/>
      </w:pPr>
      <w:r>
        <w:rPr>
          <w:rFonts w:ascii="Arial" w:hAnsi="Arial" w:cs="Arial" w:eastAsia="Arial"/>
          <w:i/>
          <w:iCs/>
          <w:sz w:val="21"/>
          <w:szCs w:val="21"/>
        </w:rPr>
        <w:t>Entregables del Proyecto</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2660"/>
        <w:gridCol w:w="5510"/>
        <w:gridCol w:w="1330"/>
      </w:tblGrid>
      <w:tr>
        <w:trPr>
          <w:tblHeader/>
        </w:trPr>
        <w:tc>
          <w:tcPr>
            <w:tcW w:w="26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Entregable</w:t>
            </w:r>
          </w:p>
        </w:tc>
        <w:tc>
          <w:tcPr>
            <w:tcW w:w="551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Descripción</w:t>
            </w:r>
          </w:p>
        </w:tc>
        <w:tc>
          <w:tcPr>
            <w:tcW w:w="133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Fase</w:t>
            </w:r>
          </w:p>
        </w:tc>
      </w:tr>
      <w:tr>
        <w:trPr>
          <w:cantSplit/>
        </w:trPr>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Sitio web funcional</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Agendamiento, abono, invitado, «Mis datos» y panel de gestión</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F2–F3</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Aplicación móvil Android</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Mismas funciones de cliente y de barbero, con caché sin conexión</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F2–F3</w:t>
            </w:r>
          </w:p>
        </w:tc>
      </w:tr>
      <w:tr>
        <w:trPr>
          <w:cantSplit/>
        </w:trPr>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API y base de datos relacional</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PostgreSQL con script DDL, diccionario de datos y migraciones</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F2–F3</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Documentación de gestión</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Documentos 02 a 15, Acta, Kick-Off y RACI</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F1–F3</w:t>
            </w:r>
          </w:p>
        </w:tc>
      </w:tr>
      <w:tr>
        <w:trPr>
          <w:cantSplit/>
        </w:trPr>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Documentación técnica</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ERS rev. 04.1, DAS v3.1 (4+1), especificación de casos de uso, diseño de BD, plan y casos de prueba, y diagramas</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F2</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Cumplimiento normativo</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Anexo de cumplimiento y gobierno de datos, Política de Privacidad y Términos y Condiciones</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F2</w:t>
            </w:r>
          </w:p>
        </w:tc>
      </w:tr>
      <w:tr>
        <w:trPr>
          <w:cantSplit/>
        </w:trPr>
        <w:tc>
          <w:tcPr>
            <w:tcW w:w="26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Manual de usuario y guía rápida</w:t>
            </w:r>
          </w:p>
        </w:tc>
        <w:tc>
          <w:tcPr>
            <w:tcW w:w="551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Para clientes, barberos y administradores</w:t>
            </w:r>
          </w:p>
        </w:tc>
        <w:tc>
          <w:tcPr>
            <w:tcW w:w="133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F3</w:t>
            </w:r>
          </w:p>
        </w:tc>
      </w:tr>
      <w:tr>
        <w:trPr>
          <w:cantSplit/>
        </w:trPr>
        <w:tc>
          <w:tcPr>
            <w:tcW w:w="26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Informe final, presentación y acta de cierre</w:t>
            </w:r>
          </w:p>
        </w:tc>
        <w:tc>
          <w:tcPr>
            <w:tcW w:w="551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Entrega final y defensa</w:t>
            </w:r>
          </w:p>
        </w:tc>
        <w:tc>
          <w:tcPr>
            <w:tcW w:w="133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F3</w:t>
            </w:r>
          </w:p>
        </w:tc>
      </w:tr>
    </w:tbl>
    <w:p>
      <w:pPr>
        <w:spacing w:before="0" w:after="60"/>
      </w:pPr>
    </w:p>
    <w:p>
      <w:pPr>
        <w:pStyle w:val="Heading1"/>
        <w:keepNext/>
        <w:spacing w:before="360" w:after="160"/>
      </w:pPr>
      <w:r>
        <w:rPr>
          <w:rFonts w:ascii="Arial" w:hAnsi="Arial" w:cs="Arial" w:eastAsia="Arial"/>
          <w:b/>
          <w:bCs/>
          <w:color w:val="1F3864"/>
          <w:sz w:val="28"/>
          <w:szCs w:val="28"/>
        </w:rPr>
        <w:t>4. Criterios de Aceptación del Proyecto</w:t>
      </w:r>
    </w:p>
    <w:p>
      <w:pPr>
        <w:numPr>
          <w:ilvl w:val="0"/>
          <w:numId w:val="1"/>
        </w:numPr>
        <w:spacing w:before="0" w:after="60" w:line="264" w:lineRule="auto"/>
        <w:ind w:left="540" w:hanging="270"/>
      </w:pPr>
      <w:r>
        <w:rPr>
          <w:rFonts w:ascii="Arial" w:hAnsi="Arial" w:cs="Arial" w:eastAsia="Arial"/>
          <w:sz w:val="22"/>
          <w:szCs w:val="22"/>
        </w:rPr>
        <w:t>El 100% de los requerimientos funcionales de prioridad Muy alta y Alta de la V1 pasan sus pruebas de aceptación.</w:t>
      </w:r>
    </w:p>
    <w:p>
      <w:pPr>
        <w:numPr>
          <w:ilvl w:val="0"/>
          <w:numId w:val="1"/>
        </w:numPr>
        <w:spacing w:before="0" w:after="60" w:line="264" w:lineRule="auto"/>
        <w:ind w:left="540" w:hanging="270"/>
      </w:pPr>
      <w:r>
        <w:rPr>
          <w:rFonts w:ascii="Arial" w:hAnsi="Arial" w:cs="Arial" w:eastAsia="Arial"/>
          <w:sz w:val="22"/>
          <w:szCs w:val="22"/>
        </w:rPr>
        <w:t>Una reserva solo queda confirmada con abono autorizado; la base de datos impide reservas traslapadas para un mismo barbero.</w:t>
      </w:r>
    </w:p>
    <w:p>
      <w:pPr>
        <w:numPr>
          <w:ilvl w:val="0"/>
          <w:numId w:val="1"/>
        </w:numPr>
        <w:spacing w:before="0" w:after="60" w:line="264" w:lineRule="auto"/>
        <w:ind w:left="540" w:hanging="270"/>
      </w:pPr>
      <w:r>
        <w:rPr>
          <w:rFonts w:ascii="Arial" w:hAnsi="Arial" w:cs="Arial" w:eastAsia="Arial"/>
          <w:sz w:val="22"/>
          <w:szCs w:val="22"/>
        </w:rPr>
        <w:t>Las tres sucursales operan la fila por orden de llegada y registran atenciones sin usar Excel durante la marcha blanca.</w:t>
      </w:r>
    </w:p>
    <w:p>
      <w:pPr>
        <w:numPr>
          <w:ilvl w:val="0"/>
          <w:numId w:val="1"/>
        </w:numPr>
        <w:spacing w:before="0" w:after="60" w:line="264" w:lineRule="auto"/>
        <w:ind w:left="540" w:hanging="270"/>
      </w:pPr>
      <w:r>
        <w:rPr>
          <w:rFonts w:ascii="Arial" w:hAnsi="Arial" w:cs="Arial" w:eastAsia="Arial"/>
          <w:sz w:val="22"/>
          <w:szCs w:val="22"/>
        </w:rPr>
        <w:t>El módulo «Mis datos» permite ejercer los seis derechos del titular y las solicitudes se responden dentro de 30 días corridos.</w:t>
      </w:r>
    </w:p>
    <w:p>
      <w:pPr>
        <w:numPr>
          <w:ilvl w:val="0"/>
          <w:numId w:val="1"/>
        </w:numPr>
        <w:spacing w:before="0" w:after="60" w:line="264" w:lineRule="auto"/>
        <w:ind w:left="540" w:hanging="270"/>
      </w:pPr>
      <w:r>
        <w:rPr>
          <w:rFonts w:ascii="Arial" w:hAnsi="Arial" w:cs="Arial" w:eastAsia="Arial"/>
          <w:sz w:val="22"/>
          <w:szCs w:val="22"/>
        </w:rPr>
        <w:t>No se almacenan datos de tarjetas; la comunicación usa HTTPS/TLS y la base y los respaldos están cifrados.</w:t>
      </w:r>
    </w:p>
    <w:p>
      <w:pPr>
        <w:numPr>
          <w:ilvl w:val="0"/>
          <w:numId w:val="1"/>
        </w:numPr>
        <w:spacing w:before="0" w:after="60" w:line="264" w:lineRule="auto"/>
        <w:ind w:left="540" w:hanging="270"/>
      </w:pPr>
      <w:r>
        <w:rPr>
          <w:rFonts w:ascii="Arial" w:hAnsi="Arial" w:cs="Arial" w:eastAsia="Arial"/>
          <w:sz w:val="22"/>
          <w:szCs w:val="22"/>
        </w:rPr>
        <w:t>El/la dueño/a firma el acta de aceptación (UAT) y el docente aprueba los entregables.</w:t>
      </w:r>
    </w:p>
    <w:p>
      <w:pPr>
        <w:pStyle w:val="Heading1"/>
        <w:keepNext/>
        <w:spacing w:before="360" w:after="160"/>
      </w:pPr>
      <w:r>
        <w:rPr>
          <w:rFonts w:ascii="Arial" w:hAnsi="Arial" w:cs="Arial" w:eastAsia="Arial"/>
          <w:b/>
          <w:bCs/>
          <w:color w:val="1F3864"/>
          <w:sz w:val="28"/>
          <w:szCs w:val="28"/>
        </w:rPr>
        <w:t>5. Exclusiones del Proyecto</w:t>
      </w:r>
    </w:p>
    <w:p>
      <w:pPr>
        <w:numPr>
          <w:ilvl w:val="0"/>
          <w:numId w:val="1"/>
        </w:numPr>
        <w:spacing w:before="0" w:after="60" w:line="264" w:lineRule="auto"/>
        <w:ind w:left="540" w:hanging="270"/>
      </w:pPr>
      <w:r>
        <w:rPr>
          <w:rFonts w:ascii="Arial" w:hAnsi="Arial" w:cs="Arial" w:eastAsia="Arial"/>
          <w:sz w:val="22"/>
          <w:szCs w:val="22"/>
        </w:rPr>
        <w:t>Tienda de productos (Módulo E) y asistente de estilo con IA (Módulo F): roadmap V2.</w:t>
      </w:r>
    </w:p>
    <w:p>
      <w:pPr>
        <w:numPr>
          <w:ilvl w:val="0"/>
          <w:numId w:val="1"/>
        </w:numPr>
        <w:spacing w:before="0" w:after="60" w:line="264" w:lineRule="auto"/>
        <w:ind w:left="540" w:hanging="270"/>
      </w:pPr>
      <w:r>
        <w:rPr>
          <w:rFonts w:ascii="Arial" w:hAnsi="Arial" w:cs="Arial" w:eastAsia="Arial"/>
          <w:sz w:val="22"/>
          <w:szCs w:val="22"/>
        </w:rPr>
        <w:t>Versión iOS de la app.</w:t>
      </w:r>
    </w:p>
    <w:p>
      <w:pPr>
        <w:numPr>
          <w:ilvl w:val="0"/>
          <w:numId w:val="1"/>
        </w:numPr>
        <w:spacing w:before="0" w:after="60" w:line="264" w:lineRule="auto"/>
        <w:ind w:left="540" w:hanging="270"/>
      </w:pPr>
      <w:r>
        <w:rPr>
          <w:rFonts w:ascii="Arial" w:hAnsi="Arial" w:cs="Arial" w:eastAsia="Arial"/>
          <w:sz w:val="22"/>
          <w:szCs w:val="22"/>
        </w:rPr>
        <w:t>Almacenamiento o procesamiento directo de datos de tarjetas (se delega a la pasarela).</w:t>
      </w:r>
    </w:p>
    <w:p>
      <w:pPr>
        <w:numPr>
          <w:ilvl w:val="0"/>
          <w:numId w:val="1"/>
        </w:numPr>
        <w:spacing w:before="0" w:after="60" w:line="264" w:lineRule="auto"/>
        <w:ind w:left="540" w:hanging="270"/>
      </w:pPr>
      <w:r>
        <w:rPr>
          <w:rFonts w:ascii="Arial" w:hAnsi="Arial" w:cs="Arial" w:eastAsia="Arial"/>
          <w:sz w:val="22"/>
          <w:szCs w:val="22"/>
        </w:rPr>
        <w:t>Módulo de remuneraciones, contabilidad o facturación electrónica.</w:t>
      </w:r>
    </w:p>
    <w:p>
      <w:pPr>
        <w:numPr>
          <w:ilvl w:val="0"/>
          <w:numId w:val="1"/>
        </w:numPr>
        <w:spacing w:before="0" w:after="60" w:line="264" w:lineRule="auto"/>
        <w:ind w:left="540" w:hanging="270"/>
      </w:pPr>
      <w:r>
        <w:rPr>
          <w:rFonts w:ascii="Arial" w:hAnsi="Arial" w:cs="Arial" w:eastAsia="Arial"/>
          <w:sz w:val="22"/>
          <w:szCs w:val="22"/>
        </w:rPr>
        <w:t>Migración automática del histórico de la planilla Excel (se evaluará como cambio).</w:t>
      </w:r>
    </w:p>
    <w:p>
      <w:pPr>
        <w:numPr>
          <w:ilvl w:val="0"/>
          <w:numId w:val="1"/>
        </w:numPr>
        <w:spacing w:before="0" w:after="60" w:line="264" w:lineRule="auto"/>
        <w:ind w:left="540" w:hanging="270"/>
      </w:pPr>
      <w:r>
        <w:rPr>
          <w:rFonts w:ascii="Arial" w:hAnsi="Arial" w:cs="Arial" w:eastAsia="Arial"/>
          <w:sz w:val="22"/>
          <w:szCs w:val="22"/>
        </w:rPr>
        <w:t>Migración a cloud escalada: se entrega solo la estimación de costos y la arquitectura objetivo.</w:t>
      </w:r>
    </w:p>
    <w:p>
      <w:pPr>
        <w:pStyle w:val="Heading1"/>
        <w:keepNext/>
        <w:spacing w:before="360" w:after="160"/>
      </w:pPr>
      <w:r>
        <w:rPr>
          <w:rFonts w:ascii="Arial" w:hAnsi="Arial" w:cs="Arial" w:eastAsia="Arial"/>
          <w:b/>
          <w:bCs/>
          <w:color w:val="1F3864"/>
          <w:sz w:val="28"/>
          <w:szCs w:val="28"/>
        </w:rPr>
        <w:t>6. Restricciones</w:t>
      </w:r>
    </w:p>
    <w:p>
      <w:pPr>
        <w:numPr>
          <w:ilvl w:val="0"/>
          <w:numId w:val="1"/>
        </w:numPr>
        <w:spacing w:before="0" w:after="60" w:line="264" w:lineRule="auto"/>
        <w:ind w:left="540" w:hanging="270"/>
      </w:pPr>
      <w:r>
        <w:rPr>
          <w:rFonts w:ascii="Arial" w:hAnsi="Arial" w:cs="Arial" w:eastAsia="Arial"/>
          <w:sz w:val="22"/>
          <w:szCs w:val="22"/>
        </w:rPr>
        <w:t>Plazo: 14-08-2026 al 13-11-2026 (semanas S1 a S14 del calendario del proyecto, cuya S1 es del 10 al 16 de agosto); defensa probable el 27-11-2026 (S16). Semana actual del proyecto: S11 (19-10 al 25-10-2026) de S14.</w:t>
      </w:r>
    </w:p>
    <w:p>
      <w:pPr>
        <w:numPr>
          <w:ilvl w:val="0"/>
          <w:numId w:val="1"/>
        </w:numPr>
        <w:spacing w:before="0" w:after="60" w:line="264" w:lineRule="auto"/>
        <w:ind w:left="540" w:hanging="270"/>
      </w:pPr>
      <w:r>
        <w:rPr>
          <w:rFonts w:ascii="Arial" w:hAnsi="Arial" w:cs="Arial" w:eastAsia="Arial"/>
          <w:sz w:val="22"/>
          <w:szCs w:val="22"/>
        </w:rPr>
        <w:t>Equipo de dos integrantes con dedicación parcial.</w:t>
      </w:r>
    </w:p>
    <w:p>
      <w:pPr>
        <w:numPr>
          <w:ilvl w:val="0"/>
          <w:numId w:val="1"/>
        </w:numPr>
        <w:spacing w:before="0" w:after="60" w:line="264" w:lineRule="auto"/>
        <w:ind w:left="540" w:hanging="270"/>
      </w:pPr>
      <w:r>
        <w:rPr>
          <w:rFonts w:ascii="Arial" w:hAnsi="Arial" w:cs="Arial" w:eastAsia="Arial"/>
          <w:sz w:val="22"/>
          <w:szCs w:val="22"/>
        </w:rPr>
        <w:t>Presupuesto: sin financiamiento académico; los costos operativos los asume el negocio al pasar a producción.</w:t>
      </w:r>
    </w:p>
    <w:p>
      <w:pPr>
        <w:numPr>
          <w:ilvl w:val="0"/>
          <w:numId w:val="1"/>
        </w:numPr>
        <w:spacing w:before="0" w:after="60" w:line="264" w:lineRule="auto"/>
        <w:ind w:left="540" w:hanging="270"/>
      </w:pPr>
      <w:r>
        <w:rPr>
          <w:rFonts w:ascii="Arial" w:hAnsi="Arial" w:cs="Arial" w:eastAsia="Arial"/>
          <w:sz w:val="22"/>
          <w:szCs w:val="22"/>
        </w:rPr>
        <w:t>Base de datos relacional obligatoria para el modelo y la implementación.</w:t>
      </w:r>
    </w:p>
    <w:p>
      <w:pPr>
        <w:numPr>
          <w:ilvl w:val="0"/>
          <w:numId w:val="1"/>
        </w:numPr>
        <w:spacing w:before="0" w:after="60" w:line="264" w:lineRule="auto"/>
        <w:ind w:left="540" w:hanging="270"/>
      </w:pPr>
      <w:r>
        <w:rPr>
          <w:rFonts w:ascii="Arial" w:hAnsi="Arial" w:cs="Arial" w:eastAsia="Arial"/>
          <w:sz w:val="22"/>
          <w:szCs w:val="22"/>
        </w:rPr>
        <w:t>Cumplimiento de la Ley N° 19.628 y de la Ley N° 21.719 desde el lanzamiento.</w:t>
      </w:r>
    </w:p>
    <w:p>
      <w:pPr>
        <w:numPr>
          <w:ilvl w:val="0"/>
          <w:numId w:val="1"/>
        </w:numPr>
        <w:spacing w:before="0" w:after="60" w:line="264" w:lineRule="auto"/>
        <w:ind w:left="540" w:hanging="270"/>
      </w:pPr>
      <w:r>
        <w:rPr>
          <w:rFonts w:ascii="Arial" w:hAnsi="Arial" w:cs="Arial" w:eastAsia="Arial"/>
          <w:sz w:val="22"/>
          <w:szCs w:val="22"/>
        </w:rPr>
        <w:t>El código estuvo en pausa (stand by) desde el 06-10-2026 para actualizar la documentación (SC-08). La base de datos relacional se implementó en Supabase el 20-10-2026 (SC-18).</w:t>
      </w:r>
    </w:p>
    <w:p>
      <w:pPr>
        <w:pStyle w:val="Heading1"/>
        <w:keepNext/>
        <w:spacing w:before="360" w:after="160"/>
      </w:pPr>
      <w:r>
        <w:rPr>
          <w:rFonts w:ascii="Arial" w:hAnsi="Arial" w:cs="Arial" w:eastAsia="Arial"/>
          <w:b/>
          <w:bCs/>
          <w:color w:val="1F3864"/>
          <w:sz w:val="28"/>
          <w:szCs w:val="28"/>
        </w:rPr>
        <w:t>7. Supuestos</w:t>
      </w:r>
    </w:p>
    <w:p>
      <w:pPr>
        <w:keepNext/>
        <w:spacing w:before="160" w:after="0"/>
      </w:pPr>
      <w:r>
        <w:rPr>
          <w:rFonts w:ascii="Arial" w:hAnsi="Arial" w:cs="Arial" w:eastAsia="Arial"/>
          <w:b/>
          <w:bCs/>
          <w:sz w:val="21"/>
          <w:szCs w:val="21"/>
        </w:rPr>
        <w:t>Tabla 7</w:t>
      </w:r>
    </w:p>
    <w:p>
      <w:pPr>
        <w:keepNext/>
        <w:spacing w:before="0" w:after="80"/>
      </w:pPr>
      <w:r>
        <w:rPr>
          <w:rFonts w:ascii="Arial" w:hAnsi="Arial" w:cs="Arial" w:eastAsia="Arial"/>
          <w:i/>
          <w:iCs/>
          <w:sz w:val="21"/>
          <w:szCs w:val="21"/>
        </w:rPr>
        <w:t>Supuestos de cálculo (marcados para validación)</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760"/>
        <w:gridCol w:w="4750"/>
        <w:gridCol w:w="2850"/>
        <w:gridCol w:w="1140"/>
      </w:tblGrid>
      <w:tr>
        <w:trPr>
          <w:tblHeader/>
        </w:trPr>
        <w:tc>
          <w:tcPr>
            <w:tcW w:w="7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w:t>
            </w:r>
          </w:p>
        </w:tc>
        <w:tc>
          <w:tcPr>
            <w:tcW w:w="47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Supuesto</w:t>
            </w:r>
          </w:p>
        </w:tc>
        <w:tc>
          <w:tcPr>
            <w:tcW w:w="285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Valor usado</w:t>
            </w:r>
          </w:p>
        </w:tc>
        <w:tc>
          <w:tcPr>
            <w:tcW w:w="11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Estado</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S-01</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Interpretación de las cifras de demanda: «clientes/día» = clientes atendidos en día peak; «se van» se suma para obtener la demanda total.</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Demanda peak = 156 clientes/día (130 atendidos + 26 se van)</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S-02</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Días de operación por semana</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6 días (lunes a sábado)</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S-03</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Días peak por semana</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2 días (viernes y sábado)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S-04</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Factor de demanda de un día normal respecto del peak</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60% de los atendidos</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S-05</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Factor de abandono de un día normal respecto del peak (menor congestión)</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 de los que se van</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S-06</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Semanas por mes / por año</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4,33 / 52 (sin descontar feriados)</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S-07</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Precio de referencia para valorizar clientes perdidos: Corte (no se sabe qué servicio habría tomado cada cliente)</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$11.900 (precio real del negocio)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Dato del negocio</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S-08</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Margen de contribución del local (tras comisión del barbero)</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50%</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S-09</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Adopción de reserva online en régimen</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30% de las atenciones</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S-10</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No-show de una reserva sin abono (referencial) / con abono</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15% / 5%</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S-11</w:t>
            </w:r>
          </w:p>
        </w:tc>
        <w:tc>
          <w:tcPr>
            <w:tcW w:w="47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Mezcla de medios de pago del abono</w:t>
            </w:r>
          </w:p>
        </w:tc>
        <w:tc>
          <w:tcPr>
            <w:tcW w:w="285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60% débito/prepago, 40% crédito</w:t>
            </w:r>
          </w:p>
        </w:tc>
        <w:tc>
          <w:tcPr>
            <w:tcW w:w="11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S-12</w:t>
            </w:r>
          </w:p>
        </w:tc>
        <w:tc>
          <w:tcPr>
            <w:tcW w:w="47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Esfuerzo del equipo y valorización de la hora</w:t>
            </w:r>
          </w:p>
        </w:tc>
        <w:tc>
          <w:tcPr>
            <w:tcW w:w="285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312 h × $6.111/h</w:t>
            </w:r>
          </w:p>
        </w:tc>
        <w:tc>
          <w:tcPr>
            <w:tcW w:w="11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bl>
    <w:p>
      <w:pPr>
        <w:spacing w:before="60" w:after="160" w:line="252" w:lineRule="auto"/>
      </w:pPr>
      <w:r>
        <w:rPr>
          <w:rFonts w:ascii="Arial" w:hAnsi="Arial" w:cs="Arial" w:eastAsia="Arial"/>
          <w:i/>
          <w:iCs/>
          <w:sz w:val="19"/>
          <w:szCs w:val="19"/>
        </w:rPr>
        <w:t xml:space="preserve">Nota. </w:t>
      </w:r>
      <w:r>
        <w:rPr>
          <w:rFonts w:ascii="Arial" w:hAnsi="Arial" w:cs="Arial" w:eastAsia="Arial"/>
          <w:sz w:val="19"/>
          <w:szCs w:val="19"/>
        </w:rPr>
        <w:t>Supuestos definidos por el equipo de proyecto; el valor hora se basa en el sueldo bruto de referencia de un desarrollador junior (Indeed, 2026).</w:t>
      </w:r>
    </w:p>
    <w:p>
      <w:pPr>
        <w:keepNext/>
        <w:spacing w:before="160" w:after="0"/>
      </w:pPr>
      <w:r>
        <w:rPr>
          <w:rFonts w:ascii="Arial" w:hAnsi="Arial" w:cs="Arial" w:eastAsia="Arial"/>
          <w:b/>
          <w:bCs/>
          <w:sz w:val="21"/>
          <w:szCs w:val="21"/>
        </w:rPr>
        <w:t>Tabla 8</w:t>
      </w:r>
    </w:p>
    <w:p>
      <w:pPr>
        <w:keepNext/>
        <w:spacing w:before="0" w:after="80"/>
      </w:pPr>
      <w:r>
        <w:rPr>
          <w:rFonts w:ascii="Arial" w:hAnsi="Arial" w:cs="Arial" w:eastAsia="Arial"/>
          <w:i/>
          <w:iCs/>
          <w:sz w:val="21"/>
          <w:szCs w:val="21"/>
        </w:rPr>
        <w:t>Supuestos</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760"/>
        <w:gridCol w:w="6840"/>
        <w:gridCol w:w="1900"/>
      </w:tblGrid>
      <w:tr>
        <w:trPr>
          <w:tblHeader/>
        </w:trPr>
        <w:tc>
          <w:tcPr>
            <w:tcW w:w="76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w:t>
            </w:r>
          </w:p>
        </w:tc>
        <w:tc>
          <w:tcPr>
            <w:tcW w:w="684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Supuesto de alcance</w:t>
            </w:r>
          </w:p>
        </w:tc>
        <w:tc>
          <w:tcPr>
            <w:tcW w:w="19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Estado</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S-13</w:t>
            </w:r>
          </w:p>
        </w:tc>
        <w:tc>
          <w:tcPr>
            <w:tcW w:w="68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Cancelación con ≥ 24 h: el abono queda como saldo a favor para reagendar (no se devuelve en dinero); si cancela el local, se devuelve el 100%.</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S-14</w:t>
            </w:r>
          </w:p>
        </w:tc>
        <w:tc>
          <w:tcPr>
            <w:tcW w:w="68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Tolerancia de llegada antes de marcar no-show: 15 minutos.</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S-15</w:t>
            </w:r>
          </w:p>
        </w:tc>
        <w:tc>
          <w:tcPr>
            <w:tcW w:w="68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Plazo para pagar el abono antes de liberar el cupo: 15 minutos.</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S-16</w:t>
            </w:r>
          </w:p>
        </w:tc>
        <w:tc>
          <w:tcPr>
            <w:tcW w:w="68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Número de barberos por sucursal (4 / 2 / 2) y jornada de 9 horas, para el KPI de ocupación.</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S-17</w:t>
            </w:r>
          </w:p>
        </w:tc>
        <w:tc>
          <w:tcPr>
            <w:tcW w:w="68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Plazos de conservación de datos (ver diccionario de datos).</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Por validar con asesoría legal/contable</w:t>
            </w:r>
          </w:p>
        </w:tc>
      </w:tr>
      <w:tr>
        <w:trPr>
          <w:cantSplit/>
        </w:trPr>
        <w:tc>
          <w:tcPr>
            <w:tcW w:w="76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S-20</w:t>
            </w:r>
          </w:p>
        </w:tc>
        <w:tc>
          <w:tcPr>
            <w:tcW w:w="684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Lavado ($3.570), Cejas ($3.570) y Mascarillas Faciales ($2.380) no están disponibles para agendar en línea (su precio es cercano o menor al abono de $3.000); se solicitan en el local.</w:t>
            </w:r>
          </w:p>
        </w:tc>
        <w:tc>
          <w:tcPr>
            <w:tcW w:w="1900"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Confirmado por el negocio (07-10-2026)</w:t>
            </w:r>
          </w:p>
        </w:tc>
      </w:tr>
      <w:tr>
        <w:trPr>
          <w:cantSplit/>
        </w:trPr>
        <w:tc>
          <w:tcPr>
            <w:tcW w:w="76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S-21</w:t>
            </w:r>
          </w:p>
        </w:tc>
        <w:tc>
          <w:tcPr>
            <w:tcW w:w="684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Duración de los servicios: S. Completo 60 min (máximo, confirmado); estimadas menores: Corte 40, Corte + Cejas 45, Corte + Barba 50, Corte + Cejas + Lavado 55, Barba 30 min.</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Máximo confirmado; resto por validar</w:t>
            </w:r>
          </w:p>
        </w:tc>
      </w:tr>
    </w:tbl>
    <w:p>
      <w:pPr>
        <w:spacing w:before="0" w:after="60"/>
      </w:pPr>
    </w:p>
    <w:p>
      <w:pPr>
        <w:pStyle w:val="Heading1"/>
        <w:keepNext/>
        <w:spacing w:before="360" w:after="160"/>
      </w:pPr>
      <w:r>
        <w:rPr>
          <w:rFonts w:ascii="Arial" w:hAnsi="Arial" w:cs="Arial" w:eastAsia="Arial"/>
          <w:b/>
          <w:bCs/>
          <w:color w:val="1F3864"/>
          <w:sz w:val="28"/>
          <w:szCs w:val="28"/>
        </w:rPr>
        <w:t>8. Aprobación del Alcance</w:t>
      </w:r>
    </w:p>
    <w:p>
      <w:pPr>
        <w:keepNext/>
        <w:spacing w:before="160" w:after="0"/>
      </w:pPr>
      <w:r>
        <w:rPr>
          <w:rFonts w:ascii="Arial" w:hAnsi="Arial" w:cs="Arial" w:eastAsia="Arial"/>
          <w:b/>
          <w:bCs/>
          <w:sz w:val="21"/>
          <w:szCs w:val="21"/>
        </w:rPr>
        <w:t>Tabla 9</w:t>
      </w:r>
    </w:p>
    <w:p>
      <w:pPr>
        <w:keepNext/>
        <w:spacing w:before="0" w:after="80"/>
      </w:pPr>
      <w:r>
        <w:rPr>
          <w:rFonts w:ascii="Arial" w:hAnsi="Arial" w:cs="Arial" w:eastAsia="Arial"/>
          <w:i/>
          <w:iCs/>
          <w:sz w:val="21"/>
          <w:szCs w:val="21"/>
        </w:rPr>
        <w:t>Aprobación del Alcance</w:t>
      </w:r>
    </w:p>
    <w:tbl>
      <w:tblPr>
        <w:tblW w:w="95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firstColumn="1" w:firstRow="1" w:lastColumn="0" w:lastRow="0" w:noHBand="0" w:noVBand="1" w:val="04A0"/>
      </w:tblPr>
      <w:tblGrid>
        <w:gridCol w:w="3325"/>
        <w:gridCol w:w="4275"/>
        <w:gridCol w:w="1900"/>
      </w:tblGrid>
      <w:tr>
        <w:trPr>
          <w:tblHeader/>
        </w:trPr>
        <w:tc>
          <w:tcPr>
            <w:tcW w:w="332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Nombre</w:t>
            </w:r>
          </w:p>
        </w:tc>
        <w:tc>
          <w:tcPr>
            <w:tcW w:w="4275"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Rol</w:t>
            </w:r>
          </w:p>
        </w:tc>
        <w:tc>
          <w:tcPr>
            <w:tcW w:w="1900" w:type="dxa"/>
            <w:shd w:val="clear" w:color="auto" w:fill="1F3864"/>
            <w:tcMar>
              <w:top w:w="80" w:type="dxa"/>
              <w:left w:w="100" w:type="dxa"/>
              <w:bottom w:w="80" w:type="dxa"/>
              <w:right w:w="100" w:type="dxa"/>
            </w:tcMar>
            <w:vAlign w:val="center"/>
          </w:tcPr>
          <w:p>
            <w:pPr>
              <w:spacing w:before="0" w:after="0" w:line="240" w:lineRule="auto"/>
            </w:pPr>
            <w:r>
              <w:rPr>
                <w:rFonts w:ascii="Arial" w:hAnsi="Arial" w:cs="Arial" w:eastAsia="Arial"/>
                <w:b/>
                <w:bCs/>
                <w:color w:val="FFFFFF"/>
                <w:sz w:val="18"/>
                <w:szCs w:val="18"/>
              </w:rPr>
              <w:t>Fecha de aprobación</w:t>
            </w:r>
          </w:p>
        </w:tc>
      </w:tr>
      <w:tr>
        <w:trPr>
          <w:cantSplit/>
        </w:trPr>
        <w:tc>
          <w:tcPr>
            <w:tcW w:w="33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[Nombre por validar]</w:t>
            </w:r>
          </w:p>
        </w:tc>
        <w:tc>
          <w:tcPr>
            <w:tcW w:w="42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Patrocinador — Dueño/a de Barbería Big-Boys</w:t>
            </w:r>
          </w:p>
        </w:tc>
        <w:tc>
          <w:tcPr>
            <w:tcW w:w="1900" w:type="dxa"/>
            <w:tcMar>
              <w:top w:w="80" w:type="dxa"/>
              <w:left w:w="100" w:type="dxa"/>
              <w:bottom w:w="80" w:type="dxa"/>
              <w:right w:w="100" w:type="dxa"/>
            </w:tcMar>
            <w:vAlign w:val="center"/>
          </w:tcPr>
          <w:p>
            <w:pPr>
              <w:spacing w:before="0" w:after="0" w:line="240" w:lineRule="auto"/>
            </w:pPr>
          </w:p>
        </w:tc>
      </w:tr>
      <w:tr>
        <w:trPr>
          <w:cantSplit/>
        </w:trPr>
        <w:tc>
          <w:tcPr>
            <w:tcW w:w="332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Fernando Herrera</w:t>
            </w:r>
          </w:p>
        </w:tc>
        <w:tc>
          <w:tcPr>
            <w:tcW w:w="4275" w:type="dxa"/>
            <w:shd w:val="clear" w:color="auto" w:fill="F2F5F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Docente Capstone</w:t>
            </w:r>
          </w:p>
        </w:tc>
        <w:tc>
          <w:tcPr>
            <w:tcW w:w="1900" w:type="dxa"/>
            <w:shd w:val="clear" w:color="auto" w:fill="F2F5FA"/>
            <w:tcMar>
              <w:top w:w="80" w:type="dxa"/>
              <w:left w:w="100" w:type="dxa"/>
              <w:bottom w:w="80" w:type="dxa"/>
              <w:right w:w="100" w:type="dxa"/>
            </w:tcMar>
            <w:vAlign w:val="center"/>
          </w:tcPr>
          <w:p>
            <w:pPr>
              <w:spacing w:before="0" w:after="0" w:line="240" w:lineRule="auto"/>
            </w:pPr>
          </w:p>
        </w:tc>
      </w:tr>
      <w:tr>
        <w:trPr>
          <w:cantSplit/>
        </w:trPr>
        <w:tc>
          <w:tcPr>
            <w:tcW w:w="332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Yerko Rosales</w:t>
            </w:r>
          </w:p>
        </w:tc>
        <w:tc>
          <w:tcPr>
            <w:tcW w:w="4275"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Jefe de Proyecto</w:t>
            </w:r>
          </w:p>
        </w:tc>
        <w:tc>
          <w:tcPr>
            <w:tcW w:w="1900" w:type="dxa"/>
            <w:tcMar>
              <w:top w:w="80" w:type="dxa"/>
              <w:left w:w="100" w:type="dxa"/>
              <w:bottom w:w="80" w:type="dxa"/>
              <w:right w:w="100" w:type="dxa"/>
            </w:tcMar>
            <w:vAlign w:val="center"/>
          </w:tcPr>
          <w:p>
            <w:pPr>
              <w:spacing w:before="0" w:after="0" w:line="240" w:lineRule="auto"/>
            </w:pPr>
            <w:r>
              <w:rPr>
                <w:rFonts w:ascii="Arial" w:hAnsi="Arial" w:cs="Arial" w:eastAsia="Arial"/>
                <w:sz w:val="18"/>
                <w:szCs w:val="18"/>
              </w:rPr>
              <w:t>09-10-2026</w:t>
            </w:r>
          </w:p>
        </w:tc>
      </w:tr>
    </w:tbl>
    <w:p>
      <w:pPr>
        <w:spacing w:before="0" w:after="60"/>
      </w:pPr>
    </w:p>
    <w:p>
      <w:pPr>
        <w:pStyle w:val="Heading1"/>
        <w:keepNext/>
        <w:pageBreakBefore/>
        <w:spacing w:before="360" w:after="160"/>
      </w:pPr>
      <w:r>
        <w:rPr>
          <w:rFonts w:ascii="Arial" w:hAnsi="Arial" w:cs="Arial" w:eastAsia="Arial"/>
          <w:b/>
          <w:bCs/>
          <w:color w:val="1F3864"/>
          <w:sz w:val="28"/>
          <w:szCs w:val="28"/>
        </w:rPr>
        <w:t>Referencias</w:t>
      </w:r>
    </w:p>
    <w:p>
      <w:pPr>
        <w:spacing w:before="0" w:after="120" w:line="360" w:lineRule="auto"/>
        <w:ind w:left="720" w:hanging="720"/>
      </w:pPr>
      <w:r>
        <w:rPr>
          <w:rFonts w:ascii="Arial" w:hAnsi="Arial" w:cs="Arial" w:eastAsia="Arial"/>
          <w:sz w:val="22"/>
          <w:szCs w:val="22"/>
        </w:rPr>
        <w:t xml:space="preserve">Ley N° 21.719. (2024, 13 de diciembre). </w:t>
      </w:r>
      <w:r>
        <w:rPr>
          <w:rFonts w:ascii="Arial" w:hAnsi="Arial" w:cs="Arial" w:eastAsia="Arial"/>
          <w:i/>
          <w:iCs/>
          <w:sz w:val="22"/>
          <w:szCs w:val="22"/>
        </w:rPr>
        <w:t>Regula la protección y el tratamiento de los datos personales y crea la Agencia de Protección de Datos Personales</w:t>
      </w:r>
      <w:r>
        <w:rPr>
          <w:rFonts w:ascii="Arial" w:hAnsi="Arial" w:cs="Arial" w:eastAsia="Arial"/>
          <w:sz w:val="22"/>
          <w:szCs w:val="22"/>
        </w:rPr>
        <w:t>. Diario Oficial de la República de Chile. https://www.bcn.cl/leychile/navegar?idNorma=1209272</w:t>
      </w:r>
    </w:p>
    <w:p>
      <w:pPr>
        <w:spacing w:before="0" w:after="120" w:line="360" w:lineRule="auto"/>
        <w:ind w:left="720" w:hanging="720"/>
      </w:pPr>
      <w:r>
        <w:rPr>
          <w:rFonts w:ascii="Arial" w:hAnsi="Arial" w:cs="Arial" w:eastAsia="Arial"/>
          <w:sz w:val="22"/>
          <w:szCs w:val="22"/>
        </w:rPr>
        <w:t xml:space="preserve">Project Management Institute [PMI]. (2021). </w:t>
      </w:r>
      <w:r>
        <w:rPr>
          <w:rFonts w:ascii="Arial" w:hAnsi="Arial" w:cs="Arial" w:eastAsia="Arial"/>
          <w:i/>
          <w:iCs/>
          <w:sz w:val="22"/>
          <w:szCs w:val="22"/>
        </w:rPr>
        <w:t>A guide to the project management body of knowledge (PMBOK® guide)</w:t>
      </w:r>
      <w:r>
        <w:rPr>
          <w:rFonts w:ascii="Arial" w:hAnsi="Arial" w:cs="Arial" w:eastAsia="Arial"/>
          <w:sz w:val="22"/>
          <w:szCs w:val="22"/>
        </w:rPr>
        <w:t xml:space="preserve"> (7.ª ed.). Project Management Institute.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Informe de Definición del Alcance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Rosales, Jonathan Ojeda</dc:creator>
  <cp:lastModifiedBy>Un-named</cp:lastModifiedBy>
  <cp:revision>1</cp:revision>
  <dcterms:created xsi:type="dcterms:W3CDTF">2026-08-27T15:54:55.829Z</dcterms:created>
  <dcterms:modified xsi:type="dcterms:W3CDTF">2026-08-27T15:54:55.830Z</dcterms:modified>
  <dc:title>05_Informe_Definicion_del_Alcance</dc:title>
</cp:coreProperties>
</file>

<file path=docProps/custom.xml><?xml version="1.0" encoding="utf-8"?>
<Properties xmlns="http://schemas.openxmlformats.org/officeDocument/2006/custom-properties" xmlns:vt="http://schemas.openxmlformats.org/officeDocument/2006/docPropsVTypes"/>
</file>