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6803E4C4" w14:textId="77777777" w:rsidR="003A56F9" w:rsidRDefault="00000000">
      <w:pPr>
        <w:spacing w:before="400" w:after="400"/>
        <w:jc w:val="center"/>
      </w:pPr>
      <w:r>
        <w:rPr>
          <w:b/>
          <w:bCs/>
          <w:color w:val="1F3864"/>
          <w:sz w:val="32"/>
          <w:szCs w:val="32"/>
        </w:rPr>
        <w:t>DUOC UC</w:t>
      </w:r>
    </w:p>
    <w:p w14:paraId="69C650E8" w14:textId="77777777" w:rsidR="003A56F9" w:rsidRDefault="00000000">
      <w:pPr>
        <w:spacing w:after="600"/>
        <w:jc w:val="center"/>
      </w:pPr>
      <w:r>
        <w:rPr>
          <w:sz w:val="22"/>
          <w:szCs w:val="22"/>
        </w:rPr>
        <w:t>Escuela de Informática y Telecomunicaciones</w:t>
      </w:r>
    </w:p>
    <w:p w14:paraId="781AD5AE" w14:textId="77777777" w:rsidR="003A56F9" w:rsidRDefault="00000000">
      <w:pPr>
        <w:spacing w:before="800" w:after="200"/>
        <w:jc w:val="center"/>
      </w:pPr>
      <w:r>
        <w:rPr>
          <w:b/>
          <w:bCs/>
          <w:color w:val="1F3864"/>
          <w:sz w:val="32"/>
          <w:szCs w:val="32"/>
        </w:rPr>
        <w:t>Plan de Gestión de Costos y Presupuesto</w:t>
      </w:r>
    </w:p>
    <w:p w14:paraId="402B79DA" w14:textId="77777777" w:rsidR="008C0EC9" w:rsidRDefault="00000000">
      <w:pPr>
        <w:spacing w:after="800"/>
        <w:jc w:val="center"/>
        <w:rPr>
          <w:b/>
          <w:bCs/>
        </w:rPr>
      </w:pPr>
      <w:r>
        <w:rPr>
          <w:b/>
          <w:bCs/>
        </w:rPr>
        <w:t>Proyecto Barbería Big-Boys</w:t>
      </w:r>
    </w:p>
    <w:p w14:paraId="7FFFE397" w14:textId="77777777" w:rsidR="008C0EC9" w:rsidRDefault="00000000">
      <w:pPr>
        <w:spacing w:after="800"/>
        <w:jc w:val="center"/>
        <w:rPr>
          <w:b/>
          <w:bCs/>
        </w:rPr>
      </w:pPr>
      <w:r>
        <w:rPr>
          <w:b/>
          <w:bCs/>
        </w:rPr>
        <w:t>—</w:t>
      </w:r>
    </w:p>
    <w:p w14:paraId="388468A6" w14:textId="5EEE88B8" w:rsidR="003A56F9" w:rsidRDefault="00000000">
      <w:pPr>
        <w:spacing w:after="800"/>
        <w:jc w:val="center"/>
      </w:pPr>
      <w:r>
        <w:rPr>
          <w:b/>
          <w:bCs/>
        </w:rPr>
        <w:t>Sistema de agendamiento y gestión (web + app móvil)</w:t>
      </w:r>
      <w:proofErr w:type="gramStart"/>
      <w:r>
        <w:rPr>
          <w:b/>
          <w:bCs/>
        </w:rPr>
      </w:r>
      <w:proofErr w:type="gramEnd"/>
      <w:r>
        <w:rPr>
          <w:b/>
          <w:bCs/>
        </w:rPr>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Asignatura</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val="false"/>
                <w:color w:val="000000"/>
                <w:sz w:val="20"/>
                <w:szCs w:val="20"/>
              </w:rPr>
              <w:t>PTY4614 — Capstone</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Sección</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CAPSTONE_011V</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Docente</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Fernando Herrera</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Integrantes</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Yerko Rosales (Jefe de Proyecto, Analista y Diseño UX/UI) · Jonathan Ojeda (Desarrollo Backend y Base de Datos)</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Fecha de entrega</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18 de octubre de 2026 (entrega Fase 2)</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Versión</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val="false"/>
                <w:color w:val="000000"/>
                <w:sz w:val="20"/>
                <w:szCs w:val="20"/>
              </w:rPr>
              <w:t>1.1</w:t>
            </w:r>
          </w:p>
        </w:tc>
      </w:tr>
    </w:tbl>
    <w:p>
      <w:pPr>
        <w:pStyle w:val="Heading1"/>
        <w:keepNext/>
        <w:spacing w:before="360" w:after="160"/>
      </w:pPr>
      <w:r>
        <w:rPr>
          <w:rFonts w:ascii="Arial" w:hAnsi="Arial" w:cs="Arial" w:eastAsia="Arial"/>
          <w:b/>
          <w:bCs/>
          <w:color w:val="1F3864"/>
          <w:sz w:val="28"/>
          <w:szCs w:val="28"/>
        </w:rPr>
        <w:t>1. Introducción</w:t>
      </w:r>
    </w:p>
    <w:p>
      <w:pPr>
        <w:spacing w:before="0" w:after="120" w:line="276" w:lineRule="auto"/>
        <w:jc w:val="both"/>
      </w:pPr>
      <w:r>
        <w:rPr>
          <w:rFonts w:ascii="Arial" w:hAnsi="Arial" w:cs="Arial" w:eastAsia="Arial"/>
          <w:sz w:val="22"/>
          <w:szCs w:val="22"/>
        </w:rPr>
        <w:t>Este plan establece cómo se estiman, presupuestan y controlan los costos del Proyecto Barbería Big-Boys, e incorpora el análisis económico que justifica el producto: KPIs de clientes perdidos, impacto esperado del sistema, tratamiento del abono de reserva de $3.000, retorno sobre la inversión (ROI), estimación de costos de servidores y cloud para el escenario futuro de escalamiento, y el valor del cumplimiento anticipado de la Ley N° 21.719.</w:t>
      </w:r>
    </w:p>
    <w:p>
      <w:pPr>
        <w:spacing w:before="0" w:after="120" w:line="276" w:lineRule="auto"/>
        <w:jc w:val="both"/>
      </w:pPr>
      <w:r>
        <w:rPr>
          <w:rFonts w:ascii="Arial" w:hAnsi="Arial" w:cs="Arial" w:eastAsia="Arial"/>
          <w:sz w:val="22"/>
          <w:szCs w:val="22"/>
        </w:rPr>
        <w:t xml:space="preserve">Aunque el proyecto académico no cuenta con financiamiento, el esfuerzo del equipo se </w:t>
      </w:r>
      <w:r>
        <w:rPr>
          <w:rFonts w:ascii="Arial" w:hAnsi="Arial" w:cs="Arial" w:eastAsia="Arial"/>
          <w:b/>
          <w:bCs/>
          <w:sz w:val="22"/>
          <w:szCs w:val="22"/>
        </w:rPr>
        <w:t>valoriza a precio de mercado</w:t>
      </w:r>
      <w:r>
        <w:rPr>
          <w:rFonts w:ascii="Arial" w:hAnsi="Arial" w:cs="Arial" w:eastAsia="Arial"/>
          <w:sz w:val="22"/>
          <w:szCs w:val="22"/>
        </w:rPr>
        <w:t xml:space="preserve"> para obtener una línea base y calcular el ROI. Todas las cifras externas indican su fuente y fecha de consulta (09-10-2026); las cifras no disponibles se declaran como supuestos por validar.</w:t>
      </w:r>
    </w:p>
    <w:p>
      <w:pPr>
        <w:pStyle w:val="Heading1"/>
        <w:keepNext/>
        <w:spacing w:before="360" w:after="160"/>
      </w:pPr>
      <w:r>
        <w:rPr>
          <w:rFonts w:ascii="Arial" w:hAnsi="Arial" w:cs="Arial" w:eastAsia="Arial"/>
          <w:b/>
          <w:bCs/>
          <w:color w:val="1F3864"/>
          <w:sz w:val="28"/>
          <w:szCs w:val="28"/>
        </w:rPr>
        <w:t>2. Método de Estimación de Costos</w:t>
      </w:r>
    </w:p>
    <w:p>
      <w:pPr>
        <w:numPr>
          <w:ilvl w:val="0"/>
          <w:numId w:val="1"/>
        </w:numPr>
        <w:spacing w:before="0" w:after="60" w:line="264" w:lineRule="auto"/>
        <w:ind w:left="540" w:hanging="270"/>
      </w:pPr>
      <w:r>
        <w:rPr>
          <w:rFonts w:ascii="Arial" w:hAnsi="Arial" w:cs="Arial" w:eastAsia="Arial"/>
          <w:b/>
          <w:bCs/>
          <w:sz w:val="22"/>
          <w:szCs w:val="22"/>
        </w:rPr>
        <w:t>Ascendente (bottom-up)</w:t>
      </w:r>
      <w:r>
        <w:rPr>
          <w:rFonts w:ascii="Arial" w:hAnsi="Arial" w:cs="Arial" w:eastAsia="Arial"/>
          <w:sz w:val="22"/>
          <w:szCs w:val="22"/>
        </w:rPr>
        <w:t xml:space="preserve"> para el desarrollo: horas estimadas por paquete de trabajo × valor hora de referencia ($6.111, equivalente a un sueldo bruto de desarrollador junior de $1.100.000 / 180 h) (Indeed, 2026).</w:t>
      </w:r>
    </w:p>
    <w:p>
      <w:pPr>
        <w:numPr>
          <w:ilvl w:val="0"/>
          <w:numId w:val="1"/>
        </w:numPr>
        <w:spacing w:before="0" w:after="60" w:line="264" w:lineRule="auto"/>
        <w:ind w:left="540" w:hanging="270"/>
      </w:pPr>
      <w:r>
        <w:rPr>
          <w:rFonts w:ascii="Arial" w:hAnsi="Arial" w:cs="Arial" w:eastAsia="Arial"/>
          <w:b/>
          <w:bCs/>
          <w:sz w:val="22"/>
          <w:szCs w:val="22"/>
        </w:rPr>
        <w:t>Análoga y por cotización</w:t>
      </w:r>
      <w:r>
        <w:rPr>
          <w:rFonts w:ascii="Arial" w:hAnsi="Arial" w:cs="Arial" w:eastAsia="Arial"/>
          <w:sz w:val="22"/>
          <w:szCs w:val="22"/>
        </w:rPr>
        <w:t xml:space="preserve"> para infraestructura: precios publicados por los proveedores (Amazon Web Services [AWS], 2026; Microsoft, 2026a; gcloud-compute.com, 2026; V2Networks, 2026).</w:t>
      </w:r>
    </w:p>
    <w:p>
      <w:pPr>
        <w:numPr>
          <w:ilvl w:val="0"/>
          <w:numId w:val="1"/>
        </w:numPr>
        <w:spacing w:before="0" w:after="60" w:line="264" w:lineRule="auto"/>
        <w:ind w:left="540" w:hanging="270"/>
      </w:pPr>
      <w:r>
        <w:rPr>
          <w:rFonts w:ascii="Arial" w:hAnsi="Arial" w:cs="Arial" w:eastAsia="Arial"/>
          <w:b/>
          <w:bCs/>
          <w:sz w:val="22"/>
          <w:szCs w:val="22"/>
        </w:rPr>
        <w:t>Paramétrica</w:t>
      </w:r>
      <w:r>
        <w:rPr>
          <w:rFonts w:ascii="Arial" w:hAnsi="Arial" w:cs="Arial" w:eastAsia="Arial"/>
          <w:sz w:val="22"/>
          <w:szCs w:val="22"/>
        </w:rPr>
        <w:t xml:space="preserve"> para costos variables: comisión de la pasarela por abono (Transbank, 2026) y volumen de reservas por escenario.</w:t>
      </w:r>
    </w:p>
    <w:p>
      <w:pPr>
        <w:pStyle w:val="Heading1"/>
        <w:keepNext/>
        <w:spacing w:before="360" w:after="160"/>
      </w:pPr>
      <w:r>
        <w:rPr>
          <w:rFonts w:ascii="Arial" w:hAnsi="Arial" w:cs="Arial" w:eastAsia="Arial"/>
          <w:b/>
          <w:bCs/>
          <w:color w:val="1F3864"/>
          <w:sz w:val="28"/>
          <w:szCs w:val="28"/>
        </w:rPr>
        <w:t>3. Estimación de Costos por Actividad / Paquete de Trabajo</w:t>
      </w:r>
    </w:p>
    <w:p>
      <w:pPr>
        <w:keepNext/>
        <w:spacing w:before="160" w:after="0"/>
      </w:pPr>
      <w:r>
        <w:rPr>
          <w:rFonts w:ascii="Arial" w:hAnsi="Arial" w:cs="Arial" w:eastAsia="Arial"/>
          <w:b/>
          <w:bCs/>
          <w:sz w:val="21"/>
          <w:szCs w:val="21"/>
        </w:rPr>
        <w:t>Tabla 1</w:t>
      </w:r>
    </w:p>
    <w:p>
      <w:pPr>
        <w:keepNext/>
        <w:spacing w:before="0" w:after="80"/>
      </w:pPr>
      <w:r>
        <w:rPr>
          <w:rFonts w:ascii="Arial" w:hAnsi="Arial" w:cs="Arial" w:eastAsia="Arial"/>
          <w:i/>
          <w:iCs/>
          <w:sz w:val="21"/>
          <w:szCs w:val="21"/>
        </w:rPr>
        <w:t>Estimación de Costos por Actividad / Paquete de Trabajo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760"/>
        <w:gridCol w:w="4180"/>
        <w:gridCol w:w="1425"/>
        <w:gridCol w:w="1615"/>
        <w:gridCol w:w="1520"/>
      </w:tblGrid>
      <w:tr>
        <w:trPr>
          <w:tblHeader/>
        </w:trPr>
        <w:tc>
          <w:tcPr>
            <w:tcW w:w="7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ID</w:t>
            </w:r>
          </w:p>
        </w:tc>
        <w:tc>
          <w:tcPr>
            <w:tcW w:w="418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Paquete de trabajo</w:t>
            </w:r>
          </w:p>
        </w:tc>
        <w:tc>
          <w:tcPr>
            <w:tcW w:w="14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Costo estimado</w:t>
            </w:r>
          </w:p>
        </w:tc>
        <w:tc>
          <w:tcPr>
            <w:tcW w:w="161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Tipo de costo</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Supuestos</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1.1.1</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Levantamiento de necesidades y reunión Kick-Off</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$61.110</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10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1.1.2</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Acta de Constitución y Matriz RACI</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$48.888</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1.1.3</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Guía de definición APT y presentación Fase 1</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$36.666</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1.2.1</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Especificación de requisitos (ERS)</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$61.110</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10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1.2.2</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Plan de dirección y planes subsidiarios</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$85.554</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1.2.3</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EDT y cronograma</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$36.666</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1.2.4</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Plan de costos, KPIs y estimación cloud</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$61.110</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10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1.2.5</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Seguimiento y control (reuniones semanales, informes)</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$146.664</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24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1.3.1</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Diseño UX/UI (mockups web y app)</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$122.220</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20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1.3.2</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Arquitectura 4+1 (DAS v3.0)</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$109.998</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18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1.3.3</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Modelo relacional, diccionario y script DDL</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$85.554</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1.3.4</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Cumplimiento Ley N° 21.719 y gobierno de datos</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$109.998</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18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1.4.1</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Sitio web (interfaz)</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$158.886</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26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1.4.2</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App Android (interfaz)</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$158.886</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26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1.4.3</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API REST y migración a PostgreSQL</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$183.330</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30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1.4.4</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Integración Webpay Plus (ambiente de integración)</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$73.332</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1.4.5</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Módulo «Mis datos», auditoría y retención</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$97.776</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16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1.5.1</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Plan y casos de prueba</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$36.666</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1.5.2</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Pruebas funcionales y de integración</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$73.332</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1.5.3</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Pruebas de seguridad y privacidad</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$36.666</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1.5.4</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Validación con el/la dueño/a (UAT) y marcha blanca</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$36.666</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1.6.1</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Informe final, manual y presentación</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$73.332</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1.6.2</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Acta de cierre y lecciones aprendidas</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$12.222</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 h × $6.111</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1.6.3</w:t>
            </w:r>
          </w:p>
        </w:tc>
        <w:tc>
          <w:tcPr>
            <w:tcW w:w="418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Defensa del proyecto</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$0</w:t>
            </w:r>
          </w:p>
        </w:tc>
        <w:tc>
          <w:tcPr>
            <w:tcW w:w="161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(horas equipo)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0 h × $6.111</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1.0</w:t>
            </w:r>
          </w:p>
        </w:tc>
        <w:tc>
          <w:tcPr>
            <w:tcW w:w="418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Dominio .cl (1 año)</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$9.990</w:t>
            </w:r>
          </w:p>
        </w:tc>
        <w:tc>
          <w:tcPr>
            <w:tcW w:w="161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Directo (adquisición)</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Tarifa exenta de IVA (NIC Chile, 2026)</w:t>
            </w:r>
          </w:p>
        </w:tc>
      </w:tr>
    </w:tbl>
    <w:p>
      <w:pPr>
        <w:spacing w:before="0" w:after="60"/>
      </w:pPr>
    </w:p>
    <w:p>
      <w:pPr>
        <w:pStyle w:val="Heading1"/>
        <w:keepNext/>
        <w:spacing w:before="360" w:after="160"/>
      </w:pPr>
      <w:r>
        <w:rPr>
          <w:rFonts w:ascii="Arial" w:hAnsi="Arial" w:cs="Arial" w:eastAsia="Arial"/>
          <w:b/>
          <w:bCs/>
          <w:color w:val="1F3864"/>
          <w:sz w:val="28"/>
          <w:szCs w:val="28"/>
        </w:rPr>
        <w:t>4. Línea Base de Costos</w:t>
      </w:r>
    </w:p>
    <w:p>
      <w:pPr>
        <w:spacing w:before="0" w:after="120" w:line="276" w:lineRule="auto"/>
        <w:jc w:val="both"/>
      </w:pPr>
      <w:r>
        <w:rPr>
          <w:rFonts w:ascii="Arial" w:hAnsi="Arial" w:cs="Arial" w:eastAsia="Arial"/>
          <w:sz w:val="22"/>
          <w:szCs w:val="22"/>
        </w:rPr>
        <w:t xml:space="preserve">La línea base de costos corresponde al costo base de las actividades ($1.916.622) más la reserva de contingencia del 10% ($191.662), totalizando </w:t>
      </w:r>
      <w:r>
        <w:rPr>
          <w:rFonts w:ascii="Arial" w:hAnsi="Arial" w:cs="Arial" w:eastAsia="Arial"/>
          <w:b/>
          <w:bCs/>
          <w:sz w:val="22"/>
          <w:szCs w:val="22"/>
        </w:rPr>
        <w:t>$2.108.284</w:t>
      </w:r>
      <w:r>
        <w:rPr>
          <w:rFonts w:ascii="Arial" w:hAnsi="Arial" w:cs="Arial" w:eastAsia="Arial"/>
          <w:sz w:val="22"/>
          <w:szCs w:val="22"/>
        </w:rPr>
        <w:t>. Se distribuye en el tiempo según la Carta Gantt (curva S semanal) y se usa como referencia para el control del valor ganado.</w:t>
      </w:r>
    </w:p>
    <w:p>
      <w:pPr>
        <w:pStyle w:val="Heading1"/>
        <w:keepNext/>
        <w:spacing w:before="360" w:after="160"/>
      </w:pPr>
      <w:r>
        <w:rPr>
          <w:rFonts w:ascii="Arial" w:hAnsi="Arial" w:cs="Arial" w:eastAsia="Arial"/>
          <w:b/>
          <w:bCs/>
          <w:color w:val="1F3864"/>
          <w:sz w:val="28"/>
          <w:szCs w:val="28"/>
        </w:rPr>
        <w:t>5. Reservas de Contingencia y de Gestión</w:t>
      </w:r>
    </w:p>
    <w:p>
      <w:pPr>
        <w:keepNext/>
        <w:spacing w:before="160" w:after="0"/>
      </w:pPr>
      <w:r>
        <w:rPr>
          <w:rFonts w:ascii="Arial" w:hAnsi="Arial" w:cs="Arial" w:eastAsia="Arial"/>
          <w:b/>
          <w:bCs/>
          <w:sz w:val="21"/>
          <w:szCs w:val="21"/>
        </w:rPr>
        <w:t>Tabla 2</w:t>
      </w:r>
    </w:p>
    <w:p>
      <w:pPr>
        <w:keepNext/>
        <w:spacing w:before="0" w:after="80"/>
      </w:pPr>
      <w:r>
        <w:rPr>
          <w:rFonts w:ascii="Arial" w:hAnsi="Arial" w:cs="Arial" w:eastAsia="Arial"/>
          <w:i/>
          <w:iCs/>
          <w:sz w:val="21"/>
          <w:szCs w:val="21"/>
        </w:rPr>
        <w:t>Reservas de Contingencia y de Gestión</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850"/>
        <w:gridCol w:w="6650"/>
      </w:tblGrid>
      <w:tr>
        <w:trPr>
          <w:tblHeader/>
        </w:trPr>
        <w:tc>
          <w:tcPr>
            <w:tcW w:w="28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Tipo de reserva</w:t>
            </w:r>
          </w:p>
        </w:tc>
        <w:tc>
          <w:tcPr>
            <w:tcW w:w="66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Monto / % y justificación</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de contingencia</w:t>
            </w:r>
          </w:p>
        </w:tc>
        <w:tc>
          <w:tcPr>
            <w:tcW w:w="66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10% ($191.662). Cubre riesgos identificados: migración de Firestore a PostgreSQL (R-02), integración con la pasarela (R-05) y retrabajo por validación de supuestos (R-10).</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de gestión</w:t>
            </w:r>
          </w:p>
        </w:tc>
        <w:tc>
          <w:tcPr>
            <w:tcW w:w="66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 ($95.831). Cubre riesgos no identificados; su uso requiere aprobación del patrocinador.</w:t>
            </w:r>
          </w:p>
        </w:tc>
      </w:tr>
    </w:tbl>
    <w:p>
      <w:pPr>
        <w:spacing w:before="0" w:after="60"/>
      </w:pPr>
    </w:p>
    <w:p>
      <w:pPr>
        <w:pStyle w:val="Heading1"/>
        <w:keepNext/>
        <w:spacing w:before="360" w:after="160"/>
      </w:pPr>
      <w:r>
        <w:rPr>
          <w:rFonts w:ascii="Arial" w:hAnsi="Arial" w:cs="Arial" w:eastAsia="Arial"/>
          <w:b/>
          <w:bCs/>
          <w:color w:val="1F3864"/>
          <w:sz w:val="28"/>
          <w:szCs w:val="28"/>
        </w:rPr>
        <w:t>6. Presupuesto Total del Proyecto</w:t>
      </w:r>
    </w:p>
    <w:p>
      <w:pPr>
        <w:keepNext/>
        <w:spacing w:before="160" w:after="0"/>
      </w:pPr>
      <w:r>
        <w:rPr>
          <w:rFonts w:ascii="Arial" w:hAnsi="Arial" w:cs="Arial" w:eastAsia="Arial"/>
          <w:b/>
          <w:bCs/>
          <w:sz w:val="21"/>
          <w:szCs w:val="21"/>
        </w:rPr>
        <w:t>Tabla 3</w:t>
      </w:r>
    </w:p>
    <w:p>
      <w:pPr>
        <w:keepNext/>
        <w:spacing w:before="0" w:after="80"/>
      </w:pPr>
      <w:r>
        <w:rPr>
          <w:rFonts w:ascii="Arial" w:hAnsi="Arial" w:cs="Arial" w:eastAsia="Arial"/>
          <w:i/>
          <w:iCs/>
          <w:sz w:val="21"/>
          <w:szCs w:val="21"/>
        </w:rPr>
        <w:t>Presupuesto Total del Proyecto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6175"/>
        <w:gridCol w:w="3325"/>
      </w:tblGrid>
      <w:tr>
        <w:trPr>
          <w:tblHeader/>
        </w:trPr>
        <w:tc>
          <w:tcPr>
            <w:tcW w:w="617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Concepto</w:t>
            </w:r>
          </w:p>
        </w:tc>
        <w:tc>
          <w:tcPr>
            <w:tcW w:w="33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Monto</w:t>
            </w:r>
          </w:p>
        </w:tc>
      </w:tr>
      <w:tr>
        <w:trPr>
          <w:cantSplit/>
        </w:trPr>
        <w:tc>
          <w:tcPr>
            <w:tcW w:w="61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Costo base de actividades (312 h valorizadas + dominio)</w:t>
            </w:r>
          </w:p>
        </w:tc>
        <w:tc>
          <w:tcPr>
            <w:tcW w:w="33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$1.916.622</w:t>
            </w:r>
          </w:p>
        </w:tc>
      </w:tr>
      <w:tr>
        <w:trPr>
          <w:cantSplit/>
        </w:trPr>
        <w:tc>
          <w:tcPr>
            <w:tcW w:w="61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de contingencia (10%)</w:t>
            </w:r>
          </w:p>
        </w:tc>
        <w:tc>
          <w:tcPr>
            <w:tcW w:w="33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$191.662</w:t>
            </w:r>
          </w:p>
        </w:tc>
      </w:tr>
      <w:tr>
        <w:trPr>
          <w:cantSplit/>
        </w:trPr>
        <w:tc>
          <w:tcPr>
            <w:tcW w:w="61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Línea base de costos</w:t>
            </w:r>
          </w:p>
        </w:tc>
        <w:tc>
          <w:tcPr>
            <w:tcW w:w="33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$2.108.284</w:t>
            </w:r>
          </w:p>
        </w:tc>
      </w:tr>
      <w:tr>
        <w:trPr>
          <w:cantSplit/>
        </w:trPr>
        <w:tc>
          <w:tcPr>
            <w:tcW w:w="61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de gestión (5%)</w:t>
            </w:r>
          </w:p>
        </w:tc>
        <w:tc>
          <w:tcPr>
            <w:tcW w:w="33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$95.831</w:t>
            </w:r>
          </w:p>
        </w:tc>
      </w:tr>
      <w:tr>
        <w:trPr>
          <w:cantSplit/>
        </w:trPr>
        <w:tc>
          <w:tcPr>
            <w:tcW w:w="617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Presupuesto total del proyecto</w:t>
            </w:r>
          </w:p>
        </w:tc>
        <w:tc>
          <w:tcPr>
            <w:tcW w:w="332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$2.204.115</w:t>
            </w:r>
          </w:p>
        </w:tc>
      </w:tr>
    </w:tbl>
    <w:p>
      <w:pPr>
        <w:spacing w:before="0" w:after="60"/>
      </w:pPr>
    </w:p>
    <w:p>
      <w:pPr>
        <w:spacing w:before="0" w:after="120" w:line="276" w:lineRule="auto"/>
        <w:jc w:val="both"/>
      </w:pPr>
      <w:r>
        <w:rPr>
          <w:rFonts w:ascii="Arial" w:hAnsi="Arial" w:cs="Arial" w:eastAsia="Arial"/>
          <w:sz w:val="22"/>
          <w:szCs w:val="22"/>
        </w:rPr>
        <w:t>Costos de operación del primer año (no forman parte del presupuesto del proyecto y los asume el negocio al pasar a producción): servidor de aplicaciones (referencia: VPS en Santiago, $238.800 anual con IVA incluido; proveedor por definir, SC-20), dominio $9.990, certificado SSL Let's Encrypt $0 y comisiones de la pasarela por abono (sección 8.4). La base de datos opera desde el 20-10-2026 en Supabase (SC-18): el plan Free no tiene costo, pero suspende el proyecto tras una semana de inactividad y no incluye respaldos; el plan Pro cuesta desde US$ 25 al mes e incluye 7 días de respaldos (Supabase, 2026). El plan de producción se definirá junto con SC-20; mientras tanto, el ROI mantiene como referencia el costo del VPS.</w:t>
      </w:r>
    </w:p>
    <w:p>
      <w:pPr>
        <w:pStyle w:val="Heading1"/>
        <w:keepNext/>
        <w:spacing w:before="360" w:after="160"/>
      </w:pPr>
      <w:r>
        <w:rPr>
          <w:rFonts w:ascii="Arial" w:hAnsi="Arial" w:cs="Arial" w:eastAsia="Arial"/>
          <w:b/>
          <w:bCs/>
          <w:color w:val="1F3864"/>
          <w:sz w:val="28"/>
          <w:szCs w:val="28"/>
        </w:rPr>
        <w:t>7. Plan de Control de Costos</w:t>
      </w:r>
    </w:p>
    <w:p>
      <w:pPr>
        <w:numPr>
          <w:ilvl w:val="0"/>
          <w:numId w:val="1"/>
        </w:numPr>
        <w:spacing w:before="0" w:after="60" w:line="264" w:lineRule="auto"/>
        <w:ind w:left="540" w:hanging="270"/>
      </w:pPr>
      <w:r>
        <w:rPr>
          <w:rFonts w:ascii="Arial" w:hAnsi="Arial" w:cs="Arial" w:eastAsia="Arial"/>
          <w:sz w:val="22"/>
          <w:szCs w:val="22"/>
        </w:rPr>
        <w:t xml:space="preserve">Control semanal por </w:t>
      </w:r>
      <w:r>
        <w:rPr>
          <w:rFonts w:ascii="Arial" w:hAnsi="Arial" w:cs="Arial" w:eastAsia="Arial"/>
          <w:b/>
          <w:bCs/>
          <w:sz w:val="22"/>
          <w:szCs w:val="22"/>
        </w:rPr>
        <w:t>valor ganado (EVM)</w:t>
      </w:r>
      <w:r>
        <w:rPr>
          <w:rFonts w:ascii="Arial" w:hAnsi="Arial" w:cs="Arial" w:eastAsia="Arial"/>
          <w:sz w:val="22"/>
          <w:szCs w:val="22"/>
        </w:rPr>
        <w:t>: PV (valor planificado según Gantt), EV (valor del trabajo terminado) y AC (horas reales registradas × valor hora).</w:t>
      </w:r>
    </w:p>
    <w:p>
      <w:pPr>
        <w:numPr>
          <w:ilvl w:val="0"/>
          <w:numId w:val="1"/>
        </w:numPr>
        <w:spacing w:before="0" w:after="60" w:line="264" w:lineRule="auto"/>
        <w:ind w:left="540" w:hanging="270"/>
      </w:pPr>
      <w:r>
        <w:rPr>
          <w:rFonts w:ascii="Arial" w:hAnsi="Arial" w:cs="Arial" w:eastAsia="Arial"/>
          <w:sz w:val="22"/>
          <w:szCs w:val="22"/>
        </w:rPr>
        <w:t>Indicadores: CPI = EV/AC y SPI = EV/PV. Umbral de alerta: CPI o SPI &lt; 0,90 durante dos semanas consecutivas → análisis de causa y acción correctiva en la reunión semanal.</w:t>
      </w:r>
    </w:p>
    <w:p>
      <w:pPr>
        <w:numPr>
          <w:ilvl w:val="0"/>
          <w:numId w:val="1"/>
        </w:numPr>
        <w:spacing w:before="0" w:after="60" w:line="264" w:lineRule="auto"/>
        <w:ind w:left="540" w:hanging="270"/>
      </w:pPr>
      <w:r>
        <w:rPr>
          <w:rFonts w:ascii="Arial" w:hAnsi="Arial" w:cs="Arial" w:eastAsia="Arial"/>
          <w:sz w:val="22"/>
          <w:szCs w:val="22"/>
        </w:rPr>
        <w:t>Las horas reales se registran en el tablero del proyecto y se informan en el Informe de Estado de Avance (12).</w:t>
      </w:r>
    </w:p>
    <w:p>
      <w:pPr>
        <w:numPr>
          <w:ilvl w:val="0"/>
          <w:numId w:val="1"/>
        </w:numPr>
        <w:spacing w:before="0" w:after="60" w:line="264" w:lineRule="auto"/>
        <w:ind w:left="540" w:hanging="270"/>
      </w:pPr>
      <w:r>
        <w:rPr>
          <w:rFonts w:ascii="Arial" w:hAnsi="Arial" w:cs="Arial" w:eastAsia="Arial"/>
          <w:sz w:val="22"/>
          <w:szCs w:val="22"/>
        </w:rPr>
        <w:t>Todo uso de reservas se registra como solicitud en el Control Integrado de Cambios (11).</w:t>
      </w:r>
    </w:p>
    <w:p>
      <w:pPr>
        <w:pStyle w:val="Heading1"/>
        <w:keepNext/>
        <w:spacing w:before="360" w:after="160"/>
      </w:pPr>
      <w:r>
        <w:rPr>
          <w:rFonts w:ascii="Arial" w:hAnsi="Arial" w:cs="Arial" w:eastAsia="Arial"/>
          <w:b/>
          <w:bCs/>
          <w:color w:val="1F3864"/>
          <w:sz w:val="28"/>
          <w:szCs w:val="28"/>
        </w:rPr>
        <w:t>8. Análisis Económico: KPIs, Impacto y Retorno</w:t>
      </w:r>
    </w:p>
    <w:p>
      <w:pPr>
        <w:pStyle w:val="Heading2"/>
        <w:keepNext/>
        <w:spacing w:before="220" w:after="120"/>
      </w:pPr>
      <w:r>
        <w:rPr>
          <w:rFonts w:ascii="Arial" w:hAnsi="Arial" w:cs="Arial" w:eastAsia="Arial"/>
          <w:b/>
          <w:bCs/>
          <w:color w:val="2E74B5"/>
          <w:sz w:val="24"/>
          <w:szCs w:val="24"/>
        </w:rPr>
        <w:t>8.1 Situación actual (día peak)</w:t>
      </w:r>
    </w:p>
    <w:p>
      <w:pPr>
        <w:keepNext/>
        <w:spacing w:before="160" w:after="0"/>
      </w:pPr>
      <w:r>
        <w:rPr>
          <w:rFonts w:ascii="Arial" w:hAnsi="Arial" w:cs="Arial" w:eastAsia="Arial"/>
          <w:b/>
          <w:bCs/>
          <w:sz w:val="21"/>
          <w:szCs w:val="21"/>
        </w:rPr>
        <w:t>Tabla 4</w:t>
      </w:r>
    </w:p>
    <w:p>
      <w:pPr>
        <w:keepNext/>
        <w:spacing w:before="0" w:after="80"/>
      </w:pPr>
      <w:r>
        <w:rPr>
          <w:rFonts w:ascii="Arial" w:hAnsi="Arial" w:cs="Arial" w:eastAsia="Arial"/>
          <w:i/>
          <w:iCs/>
          <w:sz w:val="21"/>
          <w:szCs w:val="21"/>
        </w:rPr>
        <w:t>Situación actual en día peak por sucursal, subtotal Peñaflor y consolidado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230"/>
        <w:gridCol w:w="1235"/>
        <w:gridCol w:w="1140"/>
        <w:gridCol w:w="950"/>
        <w:gridCol w:w="1425"/>
        <w:gridCol w:w="1520"/>
      </w:tblGrid>
      <w:tr>
        <w:trPr>
          <w:tblHeader/>
        </w:trPr>
        <w:tc>
          <w:tcPr>
            <w:tcW w:w="32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Sucursal</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Demanda (llegan)</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Atendidos</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Se van</w:t>
            </w:r>
          </w:p>
        </w:tc>
        <w:tc>
          <w:tcPr>
            <w:tcW w:w="14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Tasa de atención</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 pérdida (abandono)</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Peñaflor – Sucursal 21 de Mayo</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82</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70</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12</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85,4%</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14,6%</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Peñaflor – Sucursal Alcalde Luis Araya Cereceda</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37</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81,1%</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18,9%</w:t>
            </w:r>
          </w:p>
        </w:tc>
      </w:tr>
      <w:tr>
        <w:trPr>
          <w:cantSplit/>
        </w:trPr>
        <w:tc>
          <w:tcPr>
            <w:tcW w:w="323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Subtotal Peñaflor</w:t>
            </w:r>
          </w:p>
        </w:tc>
        <w:tc>
          <w:tcPr>
            <w:tcW w:w="123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119</w:t>
            </w:r>
          </w:p>
        </w:tc>
        <w:tc>
          <w:tcPr>
            <w:tcW w:w="114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100</w:t>
            </w:r>
          </w:p>
        </w:tc>
        <w:tc>
          <w:tcPr>
            <w:tcW w:w="95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19</w:t>
            </w:r>
          </w:p>
        </w:tc>
        <w:tc>
          <w:tcPr>
            <w:tcW w:w="142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84,0%</w:t>
            </w:r>
          </w:p>
        </w:tc>
        <w:tc>
          <w:tcPr>
            <w:tcW w:w="152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16,0%</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Talagante</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37</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81,1%</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18,9%</w:t>
            </w:r>
          </w:p>
        </w:tc>
      </w:tr>
      <w:tr>
        <w:trPr>
          <w:cantSplit/>
        </w:trPr>
        <w:tc>
          <w:tcPr>
            <w:tcW w:w="323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Total consolidado</w:t>
            </w:r>
          </w:p>
        </w:tc>
        <w:tc>
          <w:tcPr>
            <w:tcW w:w="123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156</w:t>
            </w:r>
          </w:p>
        </w:tc>
        <w:tc>
          <w:tcPr>
            <w:tcW w:w="114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130</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26</w:t>
            </w:r>
          </w:p>
        </w:tc>
        <w:tc>
          <w:tcPr>
            <w:tcW w:w="142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83,3%</w:t>
            </w:r>
          </w:p>
        </w:tc>
        <w:tc>
          <w:tcPr>
            <w:tcW w:w="152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16,7%</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con datos entregados por el negocio (días de mayor demanda). Demanda = atendidos + clientes que se van (supuesto S-01).</w:t>
      </w:r>
    </w:p>
    <w:p>
      <w:pPr>
        <w:pStyle w:val="Heading2"/>
        <w:keepNext/>
        <w:spacing w:before="220" w:after="120"/>
      </w:pPr>
      <w:r>
        <w:rPr>
          <w:rFonts w:ascii="Arial" w:hAnsi="Arial" w:cs="Arial" w:eastAsia="Arial"/>
          <w:b/>
          <w:bCs/>
          <w:color w:val="2E74B5"/>
          <w:sz w:val="24"/>
          <w:szCs w:val="24"/>
        </w:rPr>
        <w:t>8.2 Clientes e ingresos perdidos por período</w:t>
      </w:r>
    </w:p>
    <w:p>
      <w:pPr>
        <w:spacing w:before="0" w:after="120" w:line="276" w:lineRule="auto"/>
        <w:jc w:val="both"/>
      </w:pPr>
      <w:r>
        <w:rPr>
          <w:rFonts w:ascii="Arial" w:hAnsi="Arial" w:cs="Arial" w:eastAsia="Arial"/>
          <w:sz w:val="22"/>
          <w:szCs w:val="22"/>
        </w:rPr>
        <w:t xml:space="preserve">Las cifras entregadas corresponden a </w:t>
      </w:r>
      <w:r>
        <w:rPr>
          <w:rFonts w:ascii="Arial" w:hAnsi="Arial" w:cs="Arial" w:eastAsia="Arial"/>
          <w:b/>
          <w:bCs/>
          <w:sz w:val="22"/>
          <w:szCs w:val="22"/>
        </w:rPr>
        <w:t>días peak</w:t>
      </w:r>
      <w:r>
        <w:rPr>
          <w:rFonts w:ascii="Arial" w:hAnsi="Arial" w:cs="Arial" w:eastAsia="Arial"/>
          <w:sz w:val="22"/>
          <w:szCs w:val="22"/>
        </w:rPr>
        <w:t xml:space="preserve">, por lo que no se multiplican por 30. La proyección separa 2 días peak y 4 días normales por semana (supuestos S-02 a S-06), valorizando cada cliente perdido exclusivamente con el precio del </w:t>
      </w:r>
      <w:r>
        <w:rPr>
          <w:rFonts w:ascii="Arial" w:hAnsi="Arial" w:cs="Arial" w:eastAsia="Arial"/>
          <w:b/>
          <w:bCs/>
          <w:sz w:val="22"/>
          <w:szCs w:val="22"/>
        </w:rPr>
        <w:t>corte</w:t>
      </w:r>
      <w:r>
        <w:rPr>
          <w:rFonts w:ascii="Arial" w:hAnsi="Arial" w:cs="Arial" w:eastAsia="Arial"/>
          <w:sz w:val="22"/>
          <w:szCs w:val="22"/>
        </w:rPr>
        <w:t xml:space="preserve"> ($11.900), porque no se sabe qué servicio habría tomado (S-07).</w:t>
      </w:r>
    </w:p>
    <w:p>
      <w:pPr>
        <w:keepNext/>
        <w:spacing w:before="160" w:after="0"/>
      </w:pPr>
      <w:r>
        <w:rPr>
          <w:rFonts w:ascii="Arial" w:hAnsi="Arial" w:cs="Arial" w:eastAsia="Arial"/>
          <w:b/>
          <w:bCs/>
          <w:sz w:val="21"/>
          <w:szCs w:val="21"/>
        </w:rPr>
        <w:t>Tabla 5</w:t>
      </w:r>
    </w:p>
    <w:p>
      <w:pPr>
        <w:keepNext/>
        <w:spacing w:before="0" w:after="80"/>
      </w:pPr>
      <w:r>
        <w:rPr>
          <w:rFonts w:ascii="Arial" w:hAnsi="Arial" w:cs="Arial" w:eastAsia="Arial"/>
          <w:i/>
          <w:iCs/>
          <w:sz w:val="21"/>
          <w:szCs w:val="21"/>
        </w:rPr>
        <w:t>Clientes e ingresos perdidos por período (días peak + días normales)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660"/>
        <w:gridCol w:w="950"/>
        <w:gridCol w:w="950"/>
        <w:gridCol w:w="950"/>
        <w:gridCol w:w="1045"/>
        <w:gridCol w:w="1425"/>
        <w:gridCol w:w="1520"/>
      </w:tblGrid>
      <w:tr>
        <w:trPr>
          <w:tblHeader/>
        </w:trPr>
        <w:tc>
          <w:tcPr>
            <w:tcW w:w="26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Sucursal</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Perdidos / día peak</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Perdidos / semana</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Perdidos / mes</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Perdidos / año</w:t>
            </w:r>
          </w:p>
        </w:tc>
        <w:tc>
          <w:tcPr>
            <w:tcW w:w="14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Ingreso perdido / mes</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Ingreso perdido / año</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Peñaflor – Sucursal 21 de Mayo</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12</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38,4</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166,4</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1.996,8</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$1.980.160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$23.761.920</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Peñaflor – Sucursal Alcalde Luis Araya Cereceda</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7</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22,4</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97,1</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1.164,8</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$1.155.093</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$13.861.120</w:t>
            </w:r>
          </w:p>
        </w:tc>
      </w:tr>
      <w:tr>
        <w:trPr>
          <w:cantSplit/>
        </w:trPr>
        <w:tc>
          <w:tcPr>
            <w:tcW w:w="266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Subtotal Peñaflor</w:t>
            </w:r>
          </w:p>
        </w:tc>
        <w:tc>
          <w:tcPr>
            <w:tcW w:w="95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19</w:t>
            </w:r>
          </w:p>
        </w:tc>
        <w:tc>
          <w:tcPr>
            <w:tcW w:w="95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60,8</w:t>
            </w:r>
          </w:p>
        </w:tc>
        <w:tc>
          <w:tcPr>
            <w:tcW w:w="95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263,5</w:t>
            </w:r>
          </w:p>
        </w:tc>
        <w:tc>
          <w:tcPr>
            <w:tcW w:w="104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3.161,6</w:t>
            </w:r>
          </w:p>
        </w:tc>
        <w:tc>
          <w:tcPr>
            <w:tcW w:w="142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$3.135.253</w:t>
            </w:r>
          </w:p>
        </w:tc>
        <w:tc>
          <w:tcPr>
            <w:tcW w:w="152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$37.623.040</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Talagante</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7</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22,4</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97,1</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1.164,8</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$1.155.093</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$13.861.120</w:t>
            </w:r>
          </w:p>
        </w:tc>
      </w:tr>
      <w:tr>
        <w:trPr>
          <w:cantSplit/>
        </w:trPr>
        <w:tc>
          <w:tcPr>
            <w:tcW w:w="266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Total consolidado</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26</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83,2</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360,5</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4.326,4</w:t>
            </w:r>
          </w:p>
        </w:tc>
        <w:tc>
          <w:tcPr>
            <w:tcW w:w="142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$4.290.347</w:t>
            </w:r>
          </w:p>
        </w:tc>
        <w:tc>
          <w:tcPr>
            <w:tcW w:w="152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$51.484.160</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Proyección con los supuestos S-02 a S-07.</w:t>
      </w:r>
    </w:p>
    <w:p>
      <w:pPr>
        <w:spacing w:before="0" w:after="120" w:line="276" w:lineRule="auto"/>
        <w:jc w:val="both"/>
      </w:pPr>
      <w:r>
        <w:rPr>
          <w:rFonts w:ascii="Arial" w:hAnsi="Arial" w:cs="Arial" w:eastAsia="Arial"/>
          <w:i/>
          <w:iCs/>
          <w:sz w:val="18"/>
          <w:szCs w:val="18"/>
        </w:rPr>
        <w:t>Fórmulas: perdidos/semana = se van peak × días peak + se van peak × factor de abandono normal × días normales; perdidos/mes = perdidos/semana × 52/12; perdidos/año = perdidos/semana × 52; ingreso perdido = clientes perdidos × precio del corte.</w:t>
      </w:r>
    </w:p>
    <w:p>
      <w:pPr>
        <w:pStyle w:val="Heading2"/>
        <w:keepNext/>
        <w:spacing w:before="220" w:after="120"/>
      </w:pPr>
      <w:r>
        <w:rPr>
          <w:rFonts w:ascii="Arial" w:hAnsi="Arial" w:cs="Arial" w:eastAsia="Arial"/>
          <w:b/>
          <w:bCs/>
          <w:color w:val="2E74B5"/>
          <w:sz w:val="24"/>
          <w:szCs w:val="24"/>
        </w:rPr>
        <w:t>8.3 Impacto esperado del sistema</w:t>
      </w:r>
    </w:p>
    <w:p>
      <w:pPr>
        <w:spacing w:before="0" w:after="120" w:line="276" w:lineRule="auto"/>
        <w:jc w:val="both"/>
      </w:pPr>
      <w:r>
        <w:rPr>
          <w:rFonts w:ascii="Arial" w:hAnsi="Arial" w:cs="Arial" w:eastAsia="Arial"/>
          <w:sz w:val="22"/>
          <w:szCs w:val="22"/>
        </w:rPr>
        <w:t>Se evalúan tres escenarios de recuperación de los clientes que hoy se van sin atención: conservador (30%), medio (50%) y optimista (70%). La pérdida evitada equivale a la ganancia adicional generada (clientes recuperados × precio del corte).</w:t>
      </w:r>
    </w:p>
    <w:p>
      <w:pPr>
        <w:keepNext/>
        <w:spacing w:before="160" w:after="0"/>
      </w:pPr>
      <w:r>
        <w:rPr>
          <w:rFonts w:ascii="Arial" w:hAnsi="Arial" w:cs="Arial" w:eastAsia="Arial"/>
          <w:b/>
          <w:bCs/>
          <w:sz w:val="21"/>
          <w:szCs w:val="21"/>
        </w:rPr>
        <w:t>Tabla 6</w:t>
      </w:r>
    </w:p>
    <w:p>
      <w:pPr>
        <w:keepNext/>
        <w:spacing w:before="0" w:after="80"/>
      </w:pPr>
      <w:r>
        <w:rPr>
          <w:rFonts w:ascii="Arial" w:hAnsi="Arial" w:cs="Arial" w:eastAsia="Arial"/>
          <w:i/>
          <w:iCs/>
          <w:sz w:val="21"/>
          <w:szCs w:val="21"/>
        </w:rPr>
        <w:t>Impacto anual del sistema: clientes recuperados e ingresos adicionales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375"/>
        <w:gridCol w:w="1045"/>
        <w:gridCol w:w="1330"/>
        <w:gridCol w:w="1045"/>
        <w:gridCol w:w="1330"/>
        <w:gridCol w:w="1045"/>
        <w:gridCol w:w="1330"/>
      </w:tblGrid>
      <w:tr>
        <w:trPr>
          <w:tblHeader/>
        </w:trPr>
        <w:tc>
          <w:tcPr>
            <w:tcW w:w="237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Sucursal</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Recuperados/año (30%)</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Pérdida evitada (30%)</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Recuperados/año (50%)</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Pérdida evitada (50%)</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Recuperados/año (70%)</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Pérdida evitada (70%)</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Peñaflor – Sucursal 21 de Mayo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599</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$7.128.576</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998</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$11.880.960</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1.398</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$16.633.344</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Peñaflor – Sucursal Alcalde Luis Araya Cereceda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349</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$4.158.336</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582</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$6.930.560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815</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$9.702.784</w:t>
            </w:r>
          </w:p>
        </w:tc>
      </w:tr>
      <w:tr>
        <w:trPr>
          <w:cantSplit/>
        </w:trPr>
        <w:tc>
          <w:tcPr>
            <w:tcW w:w="237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Subtotal Peñaflor</w:t>
            </w:r>
          </w:p>
        </w:tc>
        <w:tc>
          <w:tcPr>
            <w:tcW w:w="104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948</w:t>
            </w:r>
          </w:p>
        </w:tc>
        <w:tc>
          <w:tcPr>
            <w:tcW w:w="133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$11.286.912</w:t>
            </w:r>
          </w:p>
        </w:tc>
        <w:tc>
          <w:tcPr>
            <w:tcW w:w="104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1.581</w:t>
            </w:r>
          </w:p>
        </w:tc>
        <w:tc>
          <w:tcPr>
            <w:tcW w:w="133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$18.811.520</w:t>
            </w:r>
          </w:p>
        </w:tc>
        <w:tc>
          <w:tcPr>
            <w:tcW w:w="104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2.213</w:t>
            </w:r>
          </w:p>
        </w:tc>
        <w:tc>
          <w:tcPr>
            <w:tcW w:w="133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$26.336.128</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Talagante</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349</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$4.158.336</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582</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$6.930.560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815</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$9.702.784</w:t>
            </w:r>
          </w:p>
        </w:tc>
      </w:tr>
      <w:tr>
        <w:trPr>
          <w:cantSplit/>
        </w:trPr>
        <w:tc>
          <w:tcPr>
            <w:tcW w:w="237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Total consolidado</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1.298</w:t>
            </w:r>
          </w:p>
        </w:tc>
        <w:tc>
          <w:tcPr>
            <w:tcW w:w="133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$15.445.248</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2.163</w:t>
            </w:r>
          </w:p>
        </w:tc>
        <w:tc>
          <w:tcPr>
            <w:tcW w:w="133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$25.742.080</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3.028</w:t>
            </w:r>
          </w:p>
        </w:tc>
        <w:tc>
          <w:tcPr>
            <w:tcW w:w="133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$36.038.912</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Pérdida evitada = clientes recuperados × precio de referencia.</w:t>
      </w:r>
    </w:p>
    <w:p>
      <w:pPr>
        <w:pStyle w:val="Heading2"/>
        <w:keepNext/>
        <w:spacing w:before="220" w:after="120"/>
      </w:pPr>
      <w:r>
        <w:rPr>
          <w:rFonts w:ascii="Arial" w:hAnsi="Arial" w:cs="Arial" w:eastAsia="Arial"/>
          <w:b/>
          <w:bCs/>
          <w:color w:val="2E74B5"/>
          <w:sz w:val="24"/>
          <w:szCs w:val="24"/>
        </w:rPr>
        <w:t>8.3.1 Análisis de sensibilidad del precio de referencia</w:t>
      </w:r>
    </w:p>
    <w:p>
      <w:pPr>
        <w:spacing w:before="0" w:after="120" w:line="276" w:lineRule="auto"/>
        <w:jc w:val="both"/>
      </w:pPr>
      <w:r>
        <w:rPr>
          <w:rFonts w:ascii="Arial" w:hAnsi="Arial" w:cs="Arial" w:eastAsia="Arial"/>
          <w:sz w:val="22"/>
          <w:szCs w:val="22"/>
        </w:rPr>
        <w:t xml:space="preserve">El precio del corte es el valor </w:t>
      </w:r>
      <w:r>
        <w:rPr>
          <w:rFonts w:ascii="Arial" w:hAnsi="Arial" w:cs="Arial" w:eastAsia="Arial"/>
          <w:b/>
          <w:bCs/>
          <w:sz w:val="22"/>
          <w:szCs w:val="22"/>
        </w:rPr>
        <w:t>oficial</w:t>
      </w:r>
      <w:r>
        <w:rPr>
          <w:rFonts w:ascii="Arial" w:hAnsi="Arial" w:cs="Arial" w:eastAsia="Arial"/>
          <w:sz w:val="22"/>
          <w:szCs w:val="22"/>
        </w:rPr>
        <w:t xml:space="preserve"> de los KPIs, porque no se conoce qué servicio habría tomado cada cliente que se fue. Para dimensionar la incertidumbre, se recalculan la pérdida y el ROI con cada servicio principal del catálogo real:</w:t>
      </w:r>
    </w:p>
    <w:p>
      <w:pPr>
        <w:keepNext/>
        <w:spacing w:before="160" w:after="0"/>
      </w:pPr>
      <w:r>
        <w:rPr>
          <w:rFonts w:ascii="Arial" w:hAnsi="Arial" w:cs="Arial" w:eastAsia="Arial"/>
          <w:b/>
          <w:bCs/>
          <w:sz w:val="21"/>
          <w:szCs w:val="21"/>
        </w:rPr>
        <w:t>Tabla 7</w:t>
      </w:r>
    </w:p>
    <w:p>
      <w:pPr>
        <w:keepNext/>
        <w:spacing w:before="0" w:after="80"/>
      </w:pPr>
      <w:r>
        <w:rPr>
          <w:rFonts w:ascii="Arial" w:hAnsi="Arial" w:cs="Arial" w:eastAsia="Arial"/>
          <w:i/>
          <w:iCs/>
          <w:sz w:val="21"/>
          <w:szCs w:val="21"/>
        </w:rPr>
        <w:t>Catálogo de servicios y precios vigentes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850"/>
        <w:gridCol w:w="1235"/>
        <w:gridCol w:w="1805"/>
        <w:gridCol w:w="1140"/>
        <w:gridCol w:w="2470"/>
      </w:tblGrid>
      <w:tr>
        <w:trPr>
          <w:tblHeader/>
        </w:trPr>
        <w:tc>
          <w:tcPr>
            <w:tcW w:w="28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Servicio</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Precio</w:t>
            </w:r>
          </w:p>
        </w:tc>
        <w:tc>
          <w:tcPr>
            <w:tcW w:w="180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Tipo</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Duración</w:t>
            </w:r>
          </w:p>
        </w:tc>
        <w:tc>
          <w:tcPr>
            <w:tcW w:w="247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Agendable en línea</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Corte</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$11.900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Servicio principal</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40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Corte + Cejas</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$15.470</w:t>
            </w:r>
          </w:p>
        </w:tc>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Combo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45 min</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Corte + Barba</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$20.230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Combo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50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 Completo</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$23.800</w:t>
            </w:r>
          </w:p>
        </w:tc>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Combo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60 min</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Corte + Cejas + Lavado</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$17.850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Combo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55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Lavado</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$3.570</w:t>
            </w:r>
          </w:p>
        </w:tc>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Complemento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 min</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 (se solicita en el local)</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Barba</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$8.330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Servicio principal</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Cejas</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$3.570</w:t>
            </w:r>
          </w:p>
        </w:tc>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Complemento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 min</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 (se solicita en el local)</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Mascarillas Faciales</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$2.380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Complemento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 (se solicita en el local)</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Precios entregados por el negocio el 06-10-2026. El abono de $3.000 se descuenta del precio del servicio. Duración máxima confirmada: 60 minutos (S. Completo); las demás son estimaciones menores (S-21). Los complementos de bajo costo no se agendan en línea (S-20, confirmado el 07-10-2026).</w:t>
      </w:r>
    </w:p>
    <w:p>
      <w:pPr>
        <w:keepNext/>
        <w:spacing w:before="160" w:after="0"/>
      </w:pPr>
      <w:r>
        <w:rPr>
          <w:rFonts w:ascii="Arial" w:hAnsi="Arial" w:cs="Arial" w:eastAsia="Arial"/>
          <w:b/>
          <w:bCs/>
          <w:sz w:val="21"/>
          <w:szCs w:val="21"/>
        </w:rPr>
        <w:t>Tabla 8</w:t>
      </w:r>
    </w:p>
    <w:p>
      <w:pPr>
        <w:keepNext/>
        <w:spacing w:before="0" w:after="80"/>
      </w:pPr>
      <w:r>
        <w:rPr>
          <w:rFonts w:ascii="Arial" w:hAnsi="Arial" w:cs="Arial" w:eastAsia="Arial"/>
          <w:i/>
          <w:iCs/>
          <w:sz w:val="21"/>
          <w:szCs w:val="21"/>
        </w:rPr>
        <w:t>Análisis de sensibilidad del precio de referencia (consolidado)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805"/>
        <w:gridCol w:w="950"/>
        <w:gridCol w:w="1045"/>
        <w:gridCol w:w="1140"/>
        <w:gridCol w:w="1235"/>
        <w:gridCol w:w="1235"/>
        <w:gridCol w:w="1045"/>
        <w:gridCol w:w="1045"/>
      </w:tblGrid>
      <w:tr>
        <w:trPr>
          <w:tblHeader/>
        </w:trPr>
        <w:tc>
          <w:tcPr>
            <w:tcW w:w="180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Precio de referencia</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Precio</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Pérdida / día peak</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Pérdida / mes</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Pérdida / año</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Ganancia adicional / año (50%)</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ROI (30% / 50%)</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Recuperación (50%)</w:t>
            </w:r>
          </w:p>
        </w:tc>
      </w:tr>
      <w:tr>
        <w:trPr>
          <w:cantSplit/>
        </w:trPr>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Barba (mínimo)</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$8.330</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$216.580</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$3.003.243</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$36.038.912</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$18.019.456</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177% / 366%</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2,6 meses</w:t>
            </w:r>
          </w:p>
        </w:tc>
      </w:tr>
      <w:tr>
        <w:trPr>
          <w:cantSplit/>
        </w:trPr>
        <w:tc>
          <w:tcPr>
            <w:tcW w:w="180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Corte (oficial)</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$11.900</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$309.400</w:t>
            </w:r>
          </w:p>
        </w:tc>
        <w:tc>
          <w:tcPr>
            <w:tcW w:w="114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$4.290.347</w:t>
            </w:r>
          </w:p>
        </w:tc>
        <w:tc>
          <w:tcPr>
            <w:tcW w:w="123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$51.484.160</w:t>
            </w:r>
          </w:p>
        </w:tc>
        <w:tc>
          <w:tcPr>
            <w:tcW w:w="123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$25.742.080</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298% / 567%</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1,8 meses</w:t>
            </w:r>
          </w:p>
        </w:tc>
      </w:tr>
      <w:tr>
        <w:trPr>
          <w:cantSplit/>
        </w:trPr>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Corte + Cejas</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$15.470</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$402.220</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$5.577.451</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$66.929.408</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$33.464.704</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419% / 769%</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 meses</w:t>
            </w:r>
          </w:p>
        </w:tc>
      </w:tr>
      <w:tr>
        <w:trPr>
          <w:cantSplit/>
        </w:trPr>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Corte + Cejas + Lavado</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$17.850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$464.100</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$6.435.520</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$77.226.240</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$38.613.120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499% / 903%</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 meses</w:t>
            </w:r>
          </w:p>
        </w:tc>
      </w:tr>
      <w:tr>
        <w:trPr>
          <w:cantSplit/>
        </w:trPr>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Corte + Barba</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$20.230</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$525.980</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$7.293.589</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$87.523.072</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$43.761.536</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580% / 1.037%</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1,1 meses</w:t>
            </w:r>
          </w:p>
        </w:tc>
      </w:tr>
      <w:tr>
        <w:trPr>
          <w:cantSplit/>
        </w:trPr>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 Completo (máximo)</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$23.800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$618.800</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$8.580.693</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$102.968.320</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$51.484.160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701% / 1.239%</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0,9 meses</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La fila destacada (Corte) es el valor oficial de los KPIs. El rango usa los servicios principales, desde el más económico (Barba) hasta el más caro (S. Completo); los complementos (lavado, cejas, mascarillas) se excluyen porque no se pueden agendar y no constituyen una visita por sí solos (S-20). La pérdida por día peak considera los 26 clientes que se van.</w:t>
      </w:r>
    </w:p>
    <w:p>
      <w:pPr>
        <w:spacing w:before="0" w:after="120" w:line="276" w:lineRule="auto"/>
        <w:jc w:val="both"/>
      </w:pPr>
      <w:r>
        <w:rPr>
          <w:rFonts w:ascii="Arial" w:hAnsi="Arial" w:cs="Arial" w:eastAsia="Arial"/>
          <w:sz w:val="22"/>
          <w:szCs w:val="22"/>
        </w:rPr>
        <w:t>Incluso en el extremo inferior (Barba, $8.330) el ROI del primer año sigue siendo positivo en el escenario conservador, por lo que la conclusión de conveniencia del proyecto no depende del precio supuesto. Una vez en operación, el ticket real se medirá con el registro digital de atenciones y reemplazará esta estimación.</w:t>
      </w:r>
    </w:p>
    <w:p>
      <w:pPr>
        <w:pStyle w:val="Heading2"/>
        <w:keepNext/>
        <w:spacing w:before="220" w:after="120"/>
      </w:pPr>
      <w:r>
        <w:rPr>
          <w:rFonts w:ascii="Arial" w:hAnsi="Arial" w:cs="Arial" w:eastAsia="Arial"/>
          <w:b/>
          <w:bCs/>
          <w:color w:val="2E74B5"/>
          <w:sz w:val="24"/>
          <w:szCs w:val="24"/>
        </w:rPr>
        <w:t>8.4 Tratamiento del abono de reserva y costo de la pasarela</w:t>
      </w:r>
    </w:p>
    <w:p>
      <w:pPr>
        <w:numPr>
          <w:ilvl w:val="0"/>
          <w:numId w:val="1"/>
        </w:numPr>
        <w:spacing w:before="0" w:after="60" w:line="264" w:lineRule="auto"/>
        <w:ind w:left="540" w:hanging="270"/>
      </w:pPr>
      <w:r>
        <w:rPr>
          <w:rFonts w:ascii="Arial" w:hAnsi="Arial" w:cs="Arial" w:eastAsia="Arial"/>
          <w:sz w:val="22"/>
          <w:szCs w:val="22"/>
        </w:rPr>
        <w:t xml:space="preserve">El abono de </w:t>
      </w:r>
      <w:r>
        <w:rPr>
          <w:rFonts w:ascii="Arial" w:hAnsi="Arial" w:cs="Arial" w:eastAsia="Arial"/>
          <w:b/>
          <w:bCs/>
          <w:sz w:val="22"/>
          <w:szCs w:val="22"/>
        </w:rPr>
        <w:t>$3.000</w:t>
      </w:r>
      <w:r>
        <w:rPr>
          <w:rFonts w:ascii="Arial" w:hAnsi="Arial" w:cs="Arial" w:eastAsia="Arial"/>
          <w:sz w:val="22"/>
          <w:szCs w:val="22"/>
        </w:rPr>
        <w:t xml:space="preserve"> se descuenta del valor del servicio: no es un ingreso adicional cuando el cliente asiste, sino un adelanto que asegura el cupo.</w:t>
      </w:r>
    </w:p>
    <w:p>
      <w:pPr>
        <w:numPr>
          <w:ilvl w:val="0"/>
          <w:numId w:val="1"/>
        </w:numPr>
        <w:spacing w:before="0" w:after="60" w:line="264" w:lineRule="auto"/>
        <w:ind w:left="540" w:hanging="270"/>
      </w:pPr>
      <w:r>
        <w:rPr>
          <w:rFonts w:ascii="Arial" w:hAnsi="Arial" w:cs="Arial" w:eastAsia="Arial"/>
          <w:b/>
          <w:bCs/>
          <w:sz w:val="22"/>
          <w:szCs w:val="22"/>
        </w:rPr>
        <w:t>Reagendamiento</w:t>
      </w:r>
      <w:r>
        <w:rPr>
          <w:rFonts w:ascii="Arial" w:hAnsi="Arial" w:cs="Arial" w:eastAsia="Arial"/>
          <w:sz w:val="22"/>
          <w:szCs w:val="22"/>
        </w:rPr>
        <w:t>: permitido con al menos 24 horas de anticipación, reutilizando el mismo abono hasta 2 veces más.</w:t>
      </w:r>
    </w:p>
    <w:p>
      <w:pPr>
        <w:numPr>
          <w:ilvl w:val="0"/>
          <w:numId w:val="1"/>
        </w:numPr>
        <w:spacing w:before="0" w:after="60" w:line="264" w:lineRule="auto"/>
        <w:ind w:left="540" w:hanging="270"/>
      </w:pPr>
      <w:r>
        <w:rPr>
          <w:rFonts w:ascii="Arial" w:hAnsi="Arial" w:cs="Arial" w:eastAsia="Arial"/>
          <w:b/>
          <w:bCs/>
          <w:sz w:val="22"/>
          <w:szCs w:val="22"/>
        </w:rPr>
        <w:t>Anulación dentro de las 24 horas o no-show</w:t>
      </w:r>
      <w:r>
        <w:rPr>
          <w:rFonts w:ascii="Arial" w:hAnsi="Arial" w:cs="Arial" w:eastAsia="Arial"/>
          <w:sz w:val="22"/>
          <w:szCs w:val="22"/>
        </w:rPr>
        <w:t>: el cliente pierde el abono (saldo a favor), que pasa a ser ingreso del local y compensa el cupo perdido.</w:t>
      </w:r>
    </w:p>
    <w:p>
      <w:pPr>
        <w:numPr>
          <w:ilvl w:val="0"/>
          <w:numId w:val="1"/>
        </w:numPr>
        <w:spacing w:before="0" w:after="60" w:line="264" w:lineRule="auto"/>
        <w:ind w:left="540" w:hanging="270"/>
      </w:pPr>
      <w:r>
        <w:rPr>
          <w:rFonts w:ascii="Arial" w:hAnsi="Arial" w:cs="Arial" w:eastAsia="Arial"/>
          <w:sz w:val="22"/>
          <w:szCs w:val="22"/>
        </w:rPr>
        <w:t>Cancelación por el local: devolución del 100% del abono.</w:t>
      </w:r>
    </w:p>
    <w:p>
      <w:pPr>
        <w:keepNext/>
        <w:spacing w:before="160" w:after="0"/>
      </w:pPr>
      <w:r>
        <w:rPr>
          <w:rFonts w:ascii="Arial" w:hAnsi="Arial" w:cs="Arial" w:eastAsia="Arial"/>
          <w:b/>
          <w:bCs/>
          <w:sz w:val="21"/>
          <w:szCs w:val="21"/>
        </w:rPr>
        <w:t>Tabla 9</w:t>
      </w:r>
    </w:p>
    <w:p>
      <w:pPr>
        <w:keepNext/>
        <w:spacing w:before="0" w:after="80"/>
      </w:pPr>
      <w:r>
        <w:rPr>
          <w:rFonts w:ascii="Arial" w:hAnsi="Arial" w:cs="Arial" w:eastAsia="Arial"/>
          <w:i/>
          <w:iCs/>
          <w:sz w:val="21"/>
          <w:szCs w:val="21"/>
        </w:rPr>
        <w:t>Costo de la pasarela por abono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660"/>
        <w:gridCol w:w="1520"/>
        <w:gridCol w:w="2090"/>
        <w:gridCol w:w="2090"/>
        <w:gridCol w:w="1140"/>
      </w:tblGrid>
      <w:tr>
        <w:trPr>
          <w:tblHeader/>
        </w:trPr>
        <w:tc>
          <w:tcPr>
            <w:tcW w:w="26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Medio de pago</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Tarifa publicada</w:t>
            </w:r>
          </w:p>
        </w:tc>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Comisión mínima</w:t>
            </w:r>
          </w:p>
        </w:tc>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Costo real por abono de $3.000 (con IVA)</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 efectivo</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Webpay Plus — débito/prepago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1,75% + IVA</w:t>
            </w:r>
          </w:p>
        </w:tc>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0,002260 UF ($92,9)</w:t>
            </w:r>
          </w:p>
        </w:tc>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$110,6</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3,7%</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Webpay Plus — crédito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2,35% + IVA</w:t>
            </w:r>
          </w:p>
        </w:tc>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0,003515 UF ($144,5)</w:t>
            </w:r>
          </w:p>
        </w:tc>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$171,9</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5,7%</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Webpay Plus — mezcla 60/40 (S-11)</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c>
          <w:tcPr>
            <w:tcW w:w="209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$135,1</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4,5%</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Mercado Pago Checkout Pro (al instante)</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3,19% + IVA</w:t>
            </w:r>
          </w:p>
        </w:tc>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c>
          <w:tcPr>
            <w:tcW w:w="209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$113,9</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3,8%</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con tarifas de Webpay Plus (Transbank, 2026) y Mercado Pago (Digitalízame, 2026); UF del 09-10-2026, $41.106,35 (Pauta, 2026).</w:t>
      </w:r>
    </w:p>
    <w:p>
      <w:pPr>
        <w:pBdr>
          <w:left w:val="single" w:sz="18" w:space="6" w:color="2E74B5"/>
        </w:pBdr>
        <w:shd w:val="clear" w:color="auto" w:fill="EAF1FB"/>
        <w:spacing w:before="80" w:after="140" w:line="264" w:lineRule="auto"/>
        <w:ind w:left="120" w:right="120"/>
      </w:pPr>
      <w:r>
        <w:rPr>
          <w:rFonts w:ascii="Arial" w:hAnsi="Arial" w:cs="Arial" w:eastAsia="Arial"/>
          <w:b/>
          <w:bCs/>
          <w:sz w:val="21"/>
          <w:szCs w:val="21"/>
        </w:rPr>
        <w:t xml:space="preserve">Nota: </w:t>
      </w:r>
      <w:r>
        <w:rPr>
          <w:rFonts w:ascii="Arial" w:hAnsi="Arial" w:cs="Arial" w:eastAsia="Arial"/>
          <w:sz w:val="21"/>
          <w:szCs w:val="21"/>
        </w:rPr>
        <w:t>Con un abono de $3.000, el porcentaje de Webpay Plus genera una comisión menor al mínimo por transacción, por lo que se aplica la comisión mínima en UF: el costo efectivo sube a 3,7% (débito) y 5,7% (crédito). Para la mezcla 60/40, Mercado Pago resulta levemente más barato en este monto. Como el monto del abono está parametrizado, el negocio puede ajustarlo sin cambiar el sistema.</w:t>
      </w:r>
    </w:p>
    <w:p>
      <w:pPr>
        <w:keepNext/>
        <w:spacing w:before="160" w:after="0"/>
      </w:pPr>
      <w:r>
        <w:rPr>
          <w:rFonts w:ascii="Arial" w:hAnsi="Arial" w:cs="Arial" w:eastAsia="Arial"/>
          <w:b/>
          <w:bCs/>
          <w:sz w:val="21"/>
          <w:szCs w:val="21"/>
        </w:rPr>
        <w:t>Tabla 10</w:t>
      </w:r>
    </w:p>
    <w:p>
      <w:pPr>
        <w:keepNext/>
        <w:spacing w:before="0" w:after="80"/>
      </w:pPr>
      <w:r>
        <w:rPr>
          <w:rFonts w:ascii="Arial" w:hAnsi="Arial" w:cs="Arial" w:eastAsia="Arial"/>
          <w:i/>
          <w:iCs/>
          <w:sz w:val="21"/>
          <w:szCs w:val="21"/>
        </w:rPr>
        <w:t>Flujo anual de abonos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6650"/>
        <w:gridCol w:w="2850"/>
      </w:tblGrid>
      <w:tr>
        <w:trPr>
          <w:tblHeader/>
        </w:trPr>
        <w:tc>
          <w:tcPr>
            <w:tcW w:w="66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Concepto (consolidado, escenario medio)</w:t>
            </w:r>
          </w:p>
        </w:tc>
        <w:tc>
          <w:tcPr>
            <w:tcW w:w="28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Valor anual</w:t>
            </w:r>
          </w:p>
        </w:tc>
      </w:tr>
      <w:tr>
        <w:trPr>
          <w:cantSplit/>
        </w:trPr>
        <w:tc>
          <w:tcPr>
            <w:tcW w:w="66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Reservas con abono</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11.086</w:t>
            </w:r>
          </w:p>
        </w:tc>
      </w:tr>
      <w:tr>
        <w:trPr>
          <w:cantSplit/>
        </w:trPr>
        <w:tc>
          <w:tcPr>
            <w:tcW w:w="66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Abonos recaudados por adelantado (se descuentan del servicio)</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$33.259.200</w:t>
            </w:r>
          </w:p>
        </w:tc>
      </w:tr>
      <w:tr>
        <w:trPr>
          <w:cantSplit/>
        </w:trPr>
        <w:tc>
          <w:tcPr>
            <w:tcW w:w="66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Abonos retenidos por no-show o anulación &lt; 24 h (ingreso adicional)</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$1.662.960</w:t>
            </w:r>
          </w:p>
        </w:tc>
      </w:tr>
      <w:tr>
        <w:trPr>
          <w:cantSplit/>
        </w:trPr>
        <w:tc>
          <w:tcPr>
            <w:tcW w:w="66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Comisiones de pasarela</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−$1.497.856</w:t>
            </w:r>
          </w:p>
        </w:tc>
      </w:tr>
    </w:tbl>
    <w:p>
      <w:pPr>
        <w:spacing w:before="0" w:after="60"/>
      </w:pPr>
    </w:p>
    <w:p>
      <w:pPr>
        <w:pStyle w:val="Heading2"/>
        <w:keepNext/>
        <w:spacing w:before="220" w:after="120"/>
      </w:pPr>
      <w:r>
        <w:rPr>
          <w:rFonts w:ascii="Arial" w:hAnsi="Arial" w:cs="Arial" w:eastAsia="Arial"/>
          <w:b/>
          <w:bCs/>
          <w:color w:val="2E74B5"/>
          <w:sz w:val="24"/>
          <w:szCs w:val="24"/>
        </w:rPr>
        <w:t>8.5 No-show esperado con y sin reserva</w:t>
      </w:r>
    </w:p>
    <w:p>
      <w:pPr>
        <w:spacing w:before="0" w:after="120" w:line="276" w:lineRule="auto"/>
        <w:jc w:val="both"/>
      </w:pPr>
      <w:r>
        <w:rPr>
          <w:rFonts w:ascii="Arial" w:hAnsi="Arial" w:cs="Arial" w:eastAsia="Arial"/>
          <w:sz w:val="22"/>
          <w:szCs w:val="22"/>
        </w:rPr>
        <w:t xml:space="preserve">Sin un sistema de reservas no existe no-show, pero sí abandono (16,7% en día peak). Una reserva </w:t>
      </w:r>
      <w:r>
        <w:rPr>
          <w:rFonts w:ascii="Arial" w:hAnsi="Arial" w:cs="Arial" w:eastAsia="Arial"/>
          <w:b/>
          <w:bCs/>
          <w:sz w:val="22"/>
          <w:szCs w:val="22"/>
        </w:rPr>
        <w:t>sin</w:t>
      </w:r>
      <w:r>
        <w:rPr>
          <w:rFonts w:ascii="Arial" w:hAnsi="Arial" w:cs="Arial" w:eastAsia="Arial"/>
          <w:sz w:val="22"/>
          <w:szCs w:val="22"/>
        </w:rPr>
        <w:t xml:space="preserve"> abono suele presentar inasistencias del orden de 15% (supuesto S-10); con un abono que se pierde al no asistir se espera reducirlas a 5% o menos. La meta del KPI es no-show ≤ 5% mensual por sucursal.</w:t>
      </w:r>
    </w:p>
    <w:p>
      <w:pPr>
        <w:pStyle w:val="Heading2"/>
        <w:keepNext/>
        <w:spacing w:before="220" w:after="120"/>
      </w:pPr>
      <w:r>
        <w:rPr>
          <w:rFonts w:ascii="Arial" w:hAnsi="Arial" w:cs="Arial" w:eastAsia="Arial"/>
          <w:b/>
          <w:bCs/>
          <w:color w:val="2E74B5"/>
          <w:sz w:val="24"/>
          <w:szCs w:val="24"/>
        </w:rPr>
        <w:t>8.6 ROI y período de recuperación de la inversión</w:t>
      </w:r>
    </w:p>
    <w:p>
      <w:pPr>
        <w:keepNext/>
        <w:spacing w:before="160" w:after="0"/>
      </w:pPr>
      <w:r>
        <w:rPr>
          <w:rFonts w:ascii="Arial" w:hAnsi="Arial" w:cs="Arial" w:eastAsia="Arial"/>
          <w:b/>
          <w:bCs/>
          <w:sz w:val="21"/>
          <w:szCs w:val="21"/>
        </w:rPr>
        <w:t>Tabla 11</w:t>
      </w:r>
    </w:p>
    <w:p>
      <w:pPr>
        <w:keepNext/>
        <w:spacing w:before="0" w:after="80"/>
      </w:pPr>
      <w:r>
        <w:rPr>
          <w:rFonts w:ascii="Arial" w:hAnsi="Arial" w:cs="Arial" w:eastAsia="Arial"/>
          <w:i/>
          <w:iCs/>
          <w:sz w:val="21"/>
          <w:szCs w:val="21"/>
        </w:rPr>
        <w:t>Beneficio, ROI y período de recuperación (inversión valorizada $1.916.622)</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800"/>
        <w:gridCol w:w="1900"/>
        <w:gridCol w:w="1900"/>
        <w:gridCol w:w="1900"/>
      </w:tblGrid>
      <w:tr>
        <w:trPr>
          <w:tblHeader/>
        </w:trPr>
        <w:tc>
          <w:tcPr>
            <w:tcW w:w="38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Concepto</w:t>
            </w:r>
          </w:p>
        </w:tc>
        <w:tc>
          <w:tcPr>
            <w:tcW w:w="19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Conservador (30%)</w:t>
            </w:r>
          </w:p>
        </w:tc>
        <w:tc>
          <w:tcPr>
            <w:tcW w:w="19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Medio (50%)</w:t>
            </w:r>
          </w:p>
        </w:tc>
        <w:tc>
          <w:tcPr>
            <w:tcW w:w="19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Optimista (70%)</w:t>
            </w:r>
          </w:p>
        </w:tc>
      </w:tr>
      <w:tr>
        <w:trPr>
          <w:cantSplit/>
        </w:trPr>
        <w:tc>
          <w:tcPr>
            <w:tcW w:w="3800" w:type="dxa"/>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Clientes recuperados / año</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1.298</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2.163</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3.028</w:t>
            </w:r>
          </w:p>
        </w:tc>
      </w:tr>
      <w:tr>
        <w:trPr>
          <w:cantSplit/>
        </w:trPr>
        <w:tc>
          <w:tcPr>
            <w:tcW w:w="38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Ingreso adicional bruto / año</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$15.445.248</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$25.742.080</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$36.038.912</w:t>
            </w:r>
          </w:p>
        </w:tc>
      </w:tr>
      <w:tr>
        <w:trPr>
          <w:cantSplit/>
        </w:trPr>
        <w:tc>
          <w:tcPr>
            <w:tcW w:w="3800" w:type="dxa"/>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Margen de contribución (50%)</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$7.722.624</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$12.871.040</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$18.019.456</w:t>
            </w:r>
          </w:p>
        </w:tc>
      </w:tr>
      <w:tr>
        <w:trPr>
          <w:cantSplit/>
        </w:trPr>
        <w:tc>
          <w:tcPr>
            <w:tcW w:w="38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Reservas con abono / año</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10.221</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11.086</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11.952</w:t>
            </w:r>
          </w:p>
        </w:tc>
      </w:tr>
      <w:tr>
        <w:trPr>
          <w:cantSplit/>
        </w:trPr>
        <w:tc>
          <w:tcPr>
            <w:tcW w:w="3800" w:type="dxa"/>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Abonos retenidos por no-show/anulación &lt; 24 h</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$1.533.168</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$1.662.960</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$1.792.752</w:t>
            </w:r>
          </w:p>
        </w:tc>
      </w:tr>
      <w:tr>
        <w:trPr>
          <w:cantSplit/>
        </w:trPr>
        <w:tc>
          <w:tcPr>
            <w:tcW w:w="38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Comisiones de pasarela sobre abonos</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−$1.380.950</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−$1.497.856</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−$1.614.762</w:t>
            </w:r>
          </w:p>
        </w:tc>
      </w:tr>
      <w:tr>
        <w:trPr>
          <w:cantSplit/>
        </w:trPr>
        <w:tc>
          <w:tcPr>
            <w:tcW w:w="3800" w:type="dxa"/>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Costo operativo anual (servidor de referencia VPS, dominio)</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−$248.790</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−$248.790</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−$248.790</w:t>
            </w:r>
          </w:p>
        </w:tc>
      </w:tr>
      <w:tr>
        <w:trPr>
          <w:cantSplit/>
        </w:trPr>
        <w:tc>
          <w:tcPr>
            <w:tcW w:w="38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Beneficio neto anual</w:t>
            </w:r>
          </w:p>
        </w:tc>
        <w:tc>
          <w:tcPr>
            <w:tcW w:w="19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$7.626.052</w:t>
            </w:r>
          </w:p>
        </w:tc>
        <w:tc>
          <w:tcPr>
            <w:tcW w:w="19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$12.787.354</w:t>
            </w:r>
          </w:p>
        </w:tc>
        <w:tc>
          <w:tcPr>
            <w:tcW w:w="19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$17.948.656</w:t>
            </w:r>
          </w:p>
        </w:tc>
      </w:tr>
      <w:tr>
        <w:trPr>
          <w:cantSplit/>
        </w:trPr>
        <w:tc>
          <w:tcPr>
            <w:tcW w:w="38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ROI primer año</w:t>
            </w:r>
          </w:p>
        </w:tc>
        <w:tc>
          <w:tcPr>
            <w:tcW w:w="19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298%</w:t>
            </w:r>
          </w:p>
        </w:tc>
        <w:tc>
          <w:tcPr>
            <w:tcW w:w="19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567%</w:t>
            </w:r>
          </w:p>
        </w:tc>
        <w:tc>
          <w:tcPr>
            <w:tcW w:w="19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836%</w:t>
            </w:r>
          </w:p>
        </w:tc>
      </w:tr>
      <w:tr>
        <w:trPr>
          <w:cantSplit/>
        </w:trPr>
        <w:tc>
          <w:tcPr>
            <w:tcW w:w="38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b/>
                <w:bCs/>
                <w:sz w:val="18"/>
                <w:szCs w:val="18"/>
              </w:rPr>
              <w:t>Período de recuperación</w:t>
            </w:r>
          </w:p>
        </w:tc>
        <w:tc>
          <w:tcPr>
            <w:tcW w:w="19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 meses</w:t>
            </w:r>
          </w:p>
        </w:tc>
        <w:tc>
          <w:tcPr>
            <w:tcW w:w="19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1,8 meses</w:t>
            </w:r>
          </w:p>
        </w:tc>
        <w:tc>
          <w:tcPr>
            <w:tcW w:w="190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1,3 meses</w:t>
            </w:r>
          </w:p>
        </w:tc>
      </w:tr>
    </w:tbl>
    <w:p>
      <w:pPr>
        <w:spacing w:before="0" w:after="60"/>
      </w:pPr>
    </w:p>
    <w:p>
      <w:pPr>
        <w:spacing w:before="0" w:after="120" w:line="276" w:lineRule="auto"/>
        <w:jc w:val="both"/>
      </w:pPr>
      <w:r>
        <w:rPr>
          <w:rFonts w:ascii="Arial" w:hAnsi="Arial" w:cs="Arial" w:eastAsia="Arial"/>
          <w:sz w:val="22"/>
          <w:szCs w:val="22"/>
        </w:rPr>
        <w:t>ROI = (beneficio neto anual − inversión) / inversión. La inversión corresponde al esfuerzo valorizado del equipo ($1.906.632) más el dominio. El beneficio neto considera solo el margen de contribución de los clientes recuperados (50%, supuesto S-08), más los abonos retenidos, menos comisiones y costos de operación. Incluso en el escenario conservador la inversión se recupera en unos tres meses.</w:t>
      </w:r>
    </w:p>
    <w:p>
      <w:pPr>
        <w:pStyle w:val="Heading2"/>
        <w:keepNext/>
        <w:spacing w:before="220" w:after="120"/>
      </w:pPr>
      <w:r>
        <w:rPr>
          <w:rFonts w:ascii="Arial" w:hAnsi="Arial" w:cs="Arial" w:eastAsia="Arial"/>
          <w:b/>
          <w:bCs/>
          <w:color w:val="2E74B5"/>
          <w:sz w:val="24"/>
          <w:szCs w:val="24"/>
        </w:rPr>
        <w:t>8.7 Indicadores de seguimiento (KPIs)</w:t>
      </w:r>
    </w:p>
    <w:p>
      <w:pPr>
        <w:keepNext/>
        <w:spacing w:before="160" w:after="0"/>
      </w:pPr>
      <w:r>
        <w:rPr>
          <w:rFonts w:ascii="Arial" w:hAnsi="Arial" w:cs="Arial" w:eastAsia="Arial"/>
          <w:b/>
          <w:bCs/>
          <w:sz w:val="21"/>
          <w:szCs w:val="21"/>
        </w:rPr>
        <w:t>Tabla 12</w:t>
      </w:r>
    </w:p>
    <w:p>
      <w:pPr>
        <w:keepNext/>
        <w:spacing w:before="0" w:after="80"/>
      </w:pPr>
      <w:r>
        <w:rPr>
          <w:rFonts w:ascii="Arial" w:hAnsi="Arial" w:cs="Arial" w:eastAsia="Arial"/>
          <w:i/>
          <w:iCs/>
          <w:sz w:val="21"/>
          <w:szCs w:val="21"/>
        </w:rPr>
        <w:t>KPIs por sucursal, subtotal Peñaflor y consolidado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3610"/>
        <w:gridCol w:w="2470"/>
        <w:gridCol w:w="1520"/>
      </w:tblGrid>
      <w:tr>
        <w:trPr>
          <w:tblHeader/>
        </w:trPr>
        <w:tc>
          <w:tcPr>
            <w:tcW w:w="19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KPI</w:t>
            </w:r>
          </w:p>
        </w:tc>
        <w:tc>
          <w:tcPr>
            <w:tcW w:w="361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Fórmula</w:t>
            </w:r>
          </w:p>
        </w:tc>
        <w:tc>
          <w:tcPr>
            <w:tcW w:w="247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Meta</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Frecuencia</w:t>
            </w:r>
          </w:p>
        </w:tc>
      </w:tr>
      <w:tr>
        <w:trPr>
          <w:cantSplit/>
        </w:trPr>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Tasa de atención</w:t>
            </w:r>
          </w:p>
        </w:tc>
        <w:tc>
          <w:tcPr>
            <w:tcW w:w="361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Atendidos / (atendidos + abandonos) por sucursal</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 92% en día peak (hoy 83,3%)</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Diaria / semanal</w:t>
            </w:r>
          </w:p>
        </w:tc>
      </w:tr>
      <w:tr>
        <w:trPr>
          <w:cantSplit/>
        </w:trPr>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Tasa de abandono</w:t>
            </w:r>
          </w:p>
        </w:tc>
        <w:tc>
          <w:tcPr>
            <w:tcW w:w="36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Turnos ABANDONO / turnos registrados</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 8% en día peak (hoy 16,7%)</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Diaria / semanal</w:t>
            </w:r>
          </w:p>
        </w:tc>
      </w:tr>
      <w:tr>
        <w:trPr>
          <w:cantSplit/>
        </w:trPr>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Clientes perdidos</w:t>
            </w:r>
          </w:p>
        </w:tc>
        <w:tc>
          <w:tcPr>
            <w:tcW w:w="361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Σ abandonos por día peak, semana, mes y año</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−50% respecto de la línea base</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Semanal / mensual</w:t>
            </w:r>
          </w:p>
        </w:tc>
      </w:tr>
      <w:tr>
        <w:trPr>
          <w:cantSplit/>
        </w:trPr>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Ingreso perdido</w:t>
            </w:r>
          </w:p>
        </w:tc>
        <w:tc>
          <w:tcPr>
            <w:tcW w:w="36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Clientes perdidos × precio del corte ($11.900)</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−50% respecto de la línea base</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Mensual</w:t>
            </w:r>
          </w:p>
        </w:tc>
      </w:tr>
      <w:tr>
        <w:trPr>
          <w:cantSplit/>
        </w:trPr>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Tasa de no-show</w:t>
            </w:r>
          </w:p>
        </w:tc>
        <w:tc>
          <w:tcPr>
            <w:tcW w:w="361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Reservas NO_SHOW / reservas confirmadas</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 5%</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Mensual</w:t>
            </w:r>
          </w:p>
        </w:tc>
      </w:tr>
      <w:tr>
        <w:trPr>
          <w:cantSplit/>
        </w:trPr>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Ocupación por barbero</w:t>
            </w:r>
          </w:p>
        </w:tc>
        <w:tc>
          <w:tcPr>
            <w:tcW w:w="36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Minutos atendidos / minutos disponibles de jornada</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 75% en día peak</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Semanal</w:t>
            </w:r>
          </w:p>
        </w:tc>
      </w:tr>
      <w:tr>
        <w:trPr>
          <w:cantSplit/>
        </w:trPr>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Ocupación por sucursal</w:t>
            </w:r>
          </w:p>
        </w:tc>
        <w:tc>
          <w:tcPr>
            <w:tcW w:w="361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Σ minutos atendidos / Σ minutos disponibles</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 70%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Semanal</w:t>
            </w:r>
          </w:p>
        </w:tc>
      </w:tr>
      <w:tr>
        <w:trPr>
          <w:cantSplit/>
        </w:trPr>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Adopción de reserva online</w:t>
            </w:r>
          </w:p>
        </w:tc>
        <w:tc>
          <w:tcPr>
            <w:tcW w:w="36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Reservas / atenciones totales</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 30% al sexto mes</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Mensual</w:t>
            </w:r>
          </w:p>
        </w:tc>
      </w:tr>
      <w:tr>
        <w:trPr>
          <w:cantSplit/>
        </w:trPr>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Abonos retenidos</w:t>
            </w:r>
          </w:p>
        </w:tc>
        <w:tc>
          <w:tcPr>
            <w:tcW w:w="361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Monto de pagos RETENIDO</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Seguimiento</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Mensual</w:t>
            </w:r>
          </w:p>
        </w:tc>
      </w:tr>
    </w:tbl>
    <w:p>
      <w:pPr>
        <w:spacing w:before="0" w:after="60"/>
      </w:pPr>
    </w:p>
    <w:p>
      <w:pPr>
        <w:pStyle w:val="Heading1"/>
        <w:keepNext/>
        <w:spacing w:before="360" w:after="160"/>
      </w:pPr>
      <w:r>
        <w:rPr>
          <w:rFonts w:ascii="Arial" w:hAnsi="Arial" w:cs="Arial" w:eastAsia="Arial"/>
          <w:b/>
          <w:bCs/>
          <w:color w:val="1F3864"/>
          <w:sz w:val="28"/>
          <w:szCs w:val="28"/>
        </w:rPr>
        <w:t>9. Estimación de Costos de Servidores y Cloud (Escenario Futuro)</w:t>
      </w:r>
    </w:p>
    <w:p>
      <w:pPr>
        <w:spacing w:before="0" w:after="120" w:line="276" w:lineRule="auto"/>
        <w:jc w:val="both"/>
      </w:pPr>
      <w:r>
        <w:rPr>
          <w:rFonts w:ascii="Arial" w:hAnsi="Arial" w:cs="Arial" w:eastAsia="Arial"/>
          <w:sz w:val="22"/>
          <w:szCs w:val="22"/>
        </w:rPr>
        <w:t xml:space="preserve">Esta estimación aplica </w:t>
      </w:r>
      <w:r>
        <w:rPr>
          <w:rFonts w:ascii="Arial" w:hAnsi="Arial" w:cs="Arial" w:eastAsia="Arial"/>
          <w:b/>
          <w:bCs/>
          <w:sz w:val="22"/>
          <w:szCs w:val="22"/>
        </w:rPr>
        <w:t>solo</w:t>
      </w:r>
      <w:r>
        <w:rPr>
          <w:rFonts w:ascii="Arial" w:hAnsi="Arial" w:cs="Arial" w:eastAsia="Arial"/>
          <w:sz w:val="22"/>
          <w:szCs w:val="22"/>
        </w:rPr>
        <w:t xml:space="preserve"> al escenario futuro en que la base de datos y el sistema se trasladen a un proveedor cloud por necesidades de escalabilidad. Desde el 20-10-2026 la base de datos opera en Supabase (región us-west-2, EE. UU.; SC-18) y el alojamiento de la API queda por definir (SC-20); esta sección se mantiene como análisis de escalamiento.</w:t>
      </w:r>
    </w:p>
    <w:p>
      <w:pPr>
        <w:keepNext/>
        <w:spacing w:before="160" w:after="0"/>
      </w:pPr>
      <w:r>
        <w:rPr>
          <w:rFonts w:ascii="Arial" w:hAnsi="Arial" w:cs="Arial" w:eastAsia="Arial"/>
          <w:b/>
          <w:bCs/>
          <w:sz w:val="21"/>
          <w:szCs w:val="21"/>
        </w:rPr>
        <w:t>Tabla 13</w:t>
      </w:r>
    </w:p>
    <w:p>
      <w:pPr>
        <w:keepNext/>
        <w:spacing w:before="0" w:after="80"/>
      </w:pPr>
      <w:r>
        <w:rPr>
          <w:rFonts w:ascii="Arial" w:hAnsi="Arial" w:cs="Arial" w:eastAsia="Arial"/>
          <w:i/>
          <w:iCs/>
          <w:sz w:val="21"/>
          <w:szCs w:val="21"/>
        </w:rPr>
        <w:t>Escenarios de crecimiento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425"/>
        <w:gridCol w:w="8075"/>
      </w:tblGrid>
      <w:tr>
        <w:trPr>
          <w:tblHeader/>
        </w:trPr>
        <w:tc>
          <w:tcPr>
            <w:tcW w:w="14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Escenario</w:t>
            </w:r>
          </w:p>
        </w:tc>
        <w:tc>
          <w:tcPr>
            <w:tcW w:w="807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Supuesto de carga</w:t>
            </w:r>
          </w:p>
        </w:tc>
      </w:tr>
      <w:tr>
        <w:trPr>
          <w:cantSplit/>
        </w:trPr>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Bajo</w:t>
            </w:r>
          </w:p>
        </w:tc>
        <w:tc>
          <w:tcPr>
            <w:tcW w:w="80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 sucursales actuales; ≈ 30.000 atenciones/año; BD &lt; 10 GB; ≈ 3.000 correos/mes.</w:t>
            </w:r>
          </w:p>
        </w:tc>
      </w:tr>
      <w:tr>
        <w:trPr>
          <w:cantSplit/>
        </w:trPr>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Medio</w:t>
            </w:r>
          </w:p>
        </w:tc>
        <w:tc>
          <w:tcPr>
            <w:tcW w:w="80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Hasta 6 sucursales; ≈ 60.000 atenciones/año; BD ≈ 25 GB; alta disponibilidad de BD.</w:t>
            </w:r>
          </w:p>
        </w:tc>
      </w:tr>
      <w:tr>
        <w:trPr>
          <w:cantSplit/>
        </w:trPr>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Alto</w:t>
            </w:r>
          </w:p>
        </w:tc>
        <w:tc>
          <w:tcPr>
            <w:tcW w:w="80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Hasta 12 sucursales; ≈ 120.000 atenciones/año; BD ≈ 60 GB; 2 servidores de aplicación + BD en alta disponibilidad.</w:t>
            </w:r>
          </w:p>
        </w:tc>
      </w:tr>
    </w:tbl>
    <w:p>
      <w:pPr>
        <w:spacing w:before="0" w:after="60"/>
      </w:pPr>
    </w:p>
    <w:p>
      <w:pPr>
        <w:pStyle w:val="Heading2"/>
        <w:keepNext/>
        <w:spacing w:before="220" w:after="120"/>
      </w:pPr>
      <w:r>
        <w:rPr>
          <w:rFonts w:ascii="Arial" w:hAnsi="Arial" w:cs="Arial" w:eastAsia="Arial"/>
          <w:b/>
          <w:bCs/>
          <w:color w:val="2E74B5"/>
          <w:sz w:val="24"/>
          <w:szCs w:val="24"/>
        </w:rPr>
        <w:t>AWS (sa-east-1 São Paulo)</w:t>
      </w:r>
    </w:p>
    <w:p>
      <w:pPr>
        <w:spacing w:before="0" w:after="120" w:line="276" w:lineRule="auto"/>
        <w:jc w:val="both"/>
      </w:pPr>
      <w:r>
        <w:rPr>
          <w:rFonts w:ascii="Arial" w:hAnsi="Arial" w:cs="Arial" w:eastAsia="Arial"/>
          <w:b/>
          <w:bCs/>
          <w:sz w:val="20"/>
          <w:szCs w:val="20"/>
        </w:rPr>
        <w:t>Ubicación de los datos:</w:t>
      </w:r>
      <w:r>
        <w:rPr>
          <w:rFonts w:ascii="Arial" w:hAnsi="Arial" w:cs="Arial" w:eastAsia="Arial"/>
          <w:sz w:val="20"/>
          <w:szCs w:val="20"/>
        </w:rPr>
        <w:t xml:space="preserve"> São Paulo, Brasil (región Chile anunciada para 2026, sin disponibilidad general confirmada a la fecha). </w:t>
      </w:r>
      <w:r>
        <w:rPr>
          <w:rFonts w:ascii="Arial" w:hAnsi="Arial" w:cs="Arial" w:eastAsia="Arial"/>
          <w:b/>
          <w:bCs/>
          <w:sz w:val="20"/>
          <w:szCs w:val="20"/>
        </w:rPr>
        <w:t>Transferencia internacional de datos personales:</w:t>
      </w:r>
      <w:r>
        <w:rPr>
          <w:rFonts w:ascii="Arial" w:hAnsi="Arial" w:cs="Arial" w:eastAsia="Arial"/>
          <w:sz w:val="20"/>
          <w:szCs w:val="20"/>
        </w:rPr>
        <w:t xml:space="preserve"> Sí — datos fuera de Chile: requiere garantías de transferencia internacional (Ley 21.719). Precios (Amazon Web Services [AWS], 2026).</w:t>
      </w:r>
    </w:p>
    <w:p>
      <w:pPr>
        <w:keepNext/>
        <w:spacing w:before="160" w:after="0"/>
      </w:pPr>
      <w:r>
        <w:rPr>
          <w:rFonts w:ascii="Arial" w:hAnsi="Arial" w:cs="Arial" w:eastAsia="Arial"/>
          <w:b/>
          <w:bCs/>
          <w:sz w:val="21"/>
          <w:szCs w:val="21"/>
        </w:rPr>
        <w:t>Tabla 14</w:t>
      </w:r>
    </w:p>
    <w:p>
      <w:pPr>
        <w:keepNext/>
        <w:spacing w:before="0" w:after="80"/>
      </w:pPr>
      <w:r>
        <w:rPr>
          <w:rFonts w:ascii="Arial" w:hAnsi="Arial" w:cs="Arial" w:eastAsia="Arial"/>
          <w:i/>
          <w:iCs/>
          <w:sz w:val="21"/>
          <w:szCs w:val="21"/>
        </w:rPr>
        <w:t>AWS (sa-east-1 São Paulo)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140"/>
        <w:gridCol w:w="5510"/>
        <w:gridCol w:w="1330"/>
        <w:gridCol w:w="1520"/>
      </w:tblGrid>
      <w:tr>
        <w:trPr>
          <w:tblHeader/>
        </w:trPr>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Escenario</w:t>
            </w:r>
          </w:p>
        </w:tc>
        <w:tc>
          <w:tcPr>
            <w:tcW w:w="551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Componente</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USD/mes</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CLP/mes</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Cómputo EC2 t4g.small (2 vCPU, 2 GiB)</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US$ 19,56</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$19.028</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BD RDS PostgreSQL db.t4g.micro Single-AZ</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US$ 24,82</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$24.140</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Almacenamiento BD gp3 20 GB</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US$ 4,38</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$4.260</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Respaldos (incluidos hasta tamaño BD) + S3 10 GB</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US$ 0,41</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$394</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Correo Amazon SES (3.000/mes)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US$ 0,30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$292</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Soporte (Basic)</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US$ 0,00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$0</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(sin IVA) + dominio prorrateado</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US$ 49,47</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$48.946</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Cómputo EC2 t4g.medium (2 vCPU, 4 GiB)</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US$ 39,13</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$38.056</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BD RDS PostgreSQL db.t4g.small Multi-AZ</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US$ 100,01</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$97.270</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Almacenamiento BD gp3 50 GB Multi-AZ</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US$ 21,90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$21.300</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Respaldos + S3 50 GB</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US$ 2,02</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$1.970</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Correo Amazon SES (20.000/mes)</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$1.945</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Soporte Business Support+ (mínimo)</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US$ 29,00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$28.205</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(sin IVA) + dominio prorrateado</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US$ 194,06</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$189.578</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Cómputo 2× EC2 t4g.medium</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US$ 78,26</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$76.112</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BD RDS PostgreSQL db.t4g.medium Multi-AZ</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US$ 200,75</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$195.249</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Almacenamiento BD gp3 100 GB Multi-AZ</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US$ 43,80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$42.600</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Respaldos + S3 200 GB</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US$ 8,10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$7.878</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Correo Amazon SES (60.000/mes)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US$ 6,00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$5.836</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Soporte Business Support+ (mínimo)</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US$ 29,00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$28.205</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(sin IVA) + dominio prorrateado</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US$ 365,91</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$356.713</w:t>
            </w:r>
          </w:p>
        </w:tc>
      </w:tr>
    </w:tbl>
    <w:p>
      <w:pPr>
        <w:spacing w:before="0" w:after="60"/>
      </w:pPr>
    </w:p>
    <w:p>
      <w:pPr>
        <w:pStyle w:val="Heading2"/>
        <w:keepNext/>
        <w:spacing w:before="220" w:after="120"/>
      </w:pPr>
      <w:r>
        <w:rPr>
          <w:rFonts w:ascii="Arial" w:hAnsi="Arial" w:cs="Arial" w:eastAsia="Arial"/>
          <w:b/>
          <w:bCs/>
          <w:color w:val="2E74B5"/>
          <w:sz w:val="24"/>
          <w:szCs w:val="24"/>
        </w:rPr>
        <w:t>Microsoft Azure (Chile Central, Santiago)</w:t>
      </w:r>
    </w:p>
    <w:p>
      <w:pPr>
        <w:spacing w:before="0" w:after="120" w:line="276" w:lineRule="auto"/>
        <w:jc w:val="both"/>
      </w:pPr>
      <w:r>
        <w:rPr>
          <w:rFonts w:ascii="Arial" w:hAnsi="Arial" w:cs="Arial" w:eastAsia="Arial"/>
          <w:b/>
          <w:bCs/>
          <w:sz w:val="20"/>
          <w:szCs w:val="20"/>
        </w:rPr>
        <w:t>Ubicación de los datos:</w:t>
      </w:r>
      <w:r>
        <w:rPr>
          <w:rFonts w:ascii="Arial" w:hAnsi="Arial" w:cs="Arial" w:eastAsia="Arial"/>
          <w:sz w:val="20"/>
          <w:szCs w:val="20"/>
        </w:rPr>
        <w:t xml:space="preserve"> Santiago, Chile. </w:t>
      </w:r>
      <w:r>
        <w:rPr>
          <w:rFonts w:ascii="Arial" w:hAnsi="Arial" w:cs="Arial" w:eastAsia="Arial"/>
          <w:b/>
          <w:bCs/>
          <w:sz w:val="20"/>
          <w:szCs w:val="20"/>
        </w:rPr>
        <w:t>Transferencia internacional de datos personales:</w:t>
      </w:r>
      <w:r>
        <w:rPr>
          <w:rFonts w:ascii="Arial" w:hAnsi="Arial" w:cs="Arial" w:eastAsia="Arial"/>
          <w:sz w:val="20"/>
          <w:szCs w:val="20"/>
        </w:rPr>
        <w:t xml:space="preserve"> No — datos alojados en Chile. Precios (Microsoft, 2026a).</w:t>
      </w:r>
    </w:p>
    <w:p>
      <w:pPr>
        <w:keepNext/>
        <w:spacing w:before="160" w:after="0"/>
      </w:pPr>
      <w:r>
        <w:rPr>
          <w:rFonts w:ascii="Arial" w:hAnsi="Arial" w:cs="Arial" w:eastAsia="Arial"/>
          <w:b/>
          <w:bCs/>
          <w:sz w:val="21"/>
          <w:szCs w:val="21"/>
        </w:rPr>
        <w:t>Tabla 15</w:t>
      </w:r>
    </w:p>
    <w:p>
      <w:pPr>
        <w:keepNext/>
        <w:spacing w:before="0" w:after="80"/>
      </w:pPr>
      <w:r>
        <w:rPr>
          <w:rFonts w:ascii="Arial" w:hAnsi="Arial" w:cs="Arial" w:eastAsia="Arial"/>
          <w:i/>
          <w:iCs/>
          <w:sz w:val="21"/>
          <w:szCs w:val="21"/>
        </w:rPr>
        <w:t>Microsoft Azure (Chile Central, Santiago)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140"/>
        <w:gridCol w:w="5510"/>
        <w:gridCol w:w="1330"/>
        <w:gridCol w:w="1520"/>
      </w:tblGrid>
      <w:tr>
        <w:trPr>
          <w:tblHeader/>
        </w:trPr>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Escenario</w:t>
            </w:r>
          </w:p>
        </w:tc>
        <w:tc>
          <w:tcPr>
            <w:tcW w:w="551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Componente</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USD/mes</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CLP/mes</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Cómputo VM B2ats v2 (2 vCPU, 1 GiB)</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US$ 9,64</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$9.372</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BD PostgreSQL Flexible B1ms</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US$ 17,37</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$16.898</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Almacenamiento BD 32 GB</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US$ 5,15</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$5.011</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Respaldos (gratis hasta 100% del almacenamiento) + Blob 10 GB</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US$ 0,26</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$251</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Correo transaccional (Amazon SES, 3.000/mes)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US$ 0,30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$292</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Soporte (Basic)</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US$ 0,00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$0</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(sin IVA) + dominio prorrateado</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US$ 32,72</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$32.656</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Cómputo VM B2s (2 vCPU, 4 GiB)</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US$ 42,49</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$41.322</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BD PostgreSQL Flexible B2s con alta disponibilidad</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US$ 138,99</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$135.184</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Almacenamiento BD 64 GB (HA)</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US$ 20,61</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$20.043</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Respaldos + Blob 50 GB</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US$ 1,29</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$1.253</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Correo transaccional (20.000/mes)</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$1.945</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Soporte Developer</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US$ 29,00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$28.205</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(sin IVA) + dominio prorrateado</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US$ 234,37</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$228.785</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Cómputo 2× VM B2s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US$ 84,97</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$82.644</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BD PostgreSQL Flexible B2ms con alta disponibilidad</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US$ 277,98</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$270.367</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Almacenamiento BD 128 GB (HA)</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US$ 41,22</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$40.087</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Respaldos + Blob 200 GB</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US$ 5,15</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$5.011</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Correo transaccional (60.000/mes)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US$ 6,00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$5.836</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Soporte Developer</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US$ 29,00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$28.205</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(sin IVA) + dominio prorrateado</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US$ 444,32</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$432.982</w:t>
            </w:r>
          </w:p>
        </w:tc>
      </w:tr>
    </w:tbl>
    <w:p>
      <w:pPr>
        <w:spacing w:before="0" w:after="60"/>
      </w:pPr>
    </w:p>
    <w:p>
      <w:pPr>
        <w:pStyle w:val="Heading2"/>
        <w:keepNext/>
        <w:spacing w:before="220" w:after="120"/>
      </w:pPr>
      <w:r>
        <w:rPr>
          <w:rFonts w:ascii="Arial" w:hAnsi="Arial" w:cs="Arial" w:eastAsia="Arial"/>
          <w:b/>
          <w:bCs/>
          <w:color w:val="2E74B5"/>
          <w:sz w:val="24"/>
          <w:szCs w:val="24"/>
        </w:rPr>
        <w:t>Google Cloud (southamerica-west1, Santiago)</w:t>
      </w:r>
    </w:p>
    <w:p>
      <w:pPr>
        <w:spacing w:before="0" w:after="120" w:line="276" w:lineRule="auto"/>
        <w:jc w:val="both"/>
      </w:pPr>
      <w:r>
        <w:rPr>
          <w:rFonts w:ascii="Arial" w:hAnsi="Arial" w:cs="Arial" w:eastAsia="Arial"/>
          <w:b/>
          <w:bCs/>
          <w:sz w:val="20"/>
          <w:szCs w:val="20"/>
        </w:rPr>
        <w:t>Ubicación de los datos:</w:t>
      </w:r>
      <w:r>
        <w:rPr>
          <w:rFonts w:ascii="Arial" w:hAnsi="Arial" w:cs="Arial" w:eastAsia="Arial"/>
          <w:sz w:val="20"/>
          <w:szCs w:val="20"/>
        </w:rPr>
        <w:t xml:space="preserve"> Santiago, Chile. </w:t>
      </w:r>
      <w:r>
        <w:rPr>
          <w:rFonts w:ascii="Arial" w:hAnsi="Arial" w:cs="Arial" w:eastAsia="Arial"/>
          <w:b/>
          <w:bCs/>
          <w:sz w:val="20"/>
          <w:szCs w:val="20"/>
        </w:rPr>
        <w:t>Transferencia internacional de datos personales:</w:t>
      </w:r>
      <w:r>
        <w:rPr>
          <w:rFonts w:ascii="Arial" w:hAnsi="Arial" w:cs="Arial" w:eastAsia="Arial"/>
          <w:sz w:val="20"/>
          <w:szCs w:val="20"/>
        </w:rPr>
        <w:t xml:space="preserve"> No — datos alojados en Chile. Precios (gcloud-compute.com, 2026; Bytebase, 2026).</w:t>
      </w:r>
    </w:p>
    <w:p>
      <w:pPr>
        <w:keepNext/>
        <w:spacing w:before="160" w:after="0"/>
      </w:pPr>
      <w:r>
        <w:rPr>
          <w:rFonts w:ascii="Arial" w:hAnsi="Arial" w:cs="Arial" w:eastAsia="Arial"/>
          <w:b/>
          <w:bCs/>
          <w:sz w:val="21"/>
          <w:szCs w:val="21"/>
        </w:rPr>
        <w:t>Tabla 16</w:t>
      </w:r>
    </w:p>
    <w:p>
      <w:pPr>
        <w:keepNext/>
        <w:spacing w:before="0" w:after="80"/>
      </w:pPr>
      <w:r>
        <w:rPr>
          <w:rFonts w:ascii="Arial" w:hAnsi="Arial" w:cs="Arial" w:eastAsia="Arial"/>
          <w:i/>
          <w:iCs/>
          <w:sz w:val="21"/>
          <w:szCs w:val="21"/>
        </w:rPr>
        <w:t>Google Cloud (southamerica-west1, Santiago)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140"/>
        <w:gridCol w:w="5510"/>
        <w:gridCol w:w="1330"/>
        <w:gridCol w:w="1520"/>
      </w:tblGrid>
      <w:tr>
        <w:trPr>
          <w:tblHeader/>
        </w:trPr>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Escenario</w:t>
            </w:r>
          </w:p>
        </w:tc>
        <w:tc>
          <w:tcPr>
            <w:tcW w:w="551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Componente</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USD/mes</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CLP/mes</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Cómputo e2-small (2 vCPU compartidas, 2 GB)</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US$ 17,49</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$17.011</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BD Cloud SQL PostgreSQL db-g1-small</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US$ 25,55</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$24.850</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Almacenamiento SSD 20 GB (precio ref. us-central1)</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US$ 3,40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$3.307</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Respaldos (7 automáticos incluidos) + Cloud Storage 10 GB</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US$ 0,26</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$253</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Correo transaccional (3.000/mes)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US$ 0,30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$292</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Soporte (Basic)</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US$ 0,00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$0</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(sin IVA) + dominio prorrateado</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US$ 47,00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$46.545</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Cómputo e2-medium (2 vCPU compartidas, 4 GB)</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US$ 34,98</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$34.022</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BD Cloud SQL 1 vCPU / 3,75 GB con HA</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US$ 98,62</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$95.921</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Almacenamiento SSD 50 GB (HA)</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US$ 17,00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$16.534</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Respaldos + Cloud Storage 50 GB</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US$ 1,30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$1.264</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Correo transaccional (20.000/mes)</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$1.945</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Soporte Standard (mínimo)</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US$ 29,00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$28.205</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(sin IVA) + dominio prorrateado</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US$ 182,90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$178.724</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Cómputo 2× e2-medium</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US$ 69,96</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$68.043</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BD Cloud SQL 2 vCPU / 7,5 GB con HA</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US$ 197,25</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$191.841</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Almacenamiento SSD 100 GB (HA)</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US$ 34,00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$33.068</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Respaldos + Cloud Storage 200 GB</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US$ 5,20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$5.058</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Correo transaccional (60.000/mes)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US$ 6,00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$5.836</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Soporte Standard (mínimo)</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US$ 29,00</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$28.205</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(sin IVA) + dominio prorrateado</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US$ 341,41</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$332.884</w:t>
            </w:r>
          </w:p>
        </w:tc>
      </w:tr>
    </w:tbl>
    <w:p>
      <w:pPr>
        <w:spacing w:before="0" w:after="60"/>
      </w:pPr>
    </w:p>
    <w:p>
      <w:pPr>
        <w:pStyle w:val="Heading2"/>
        <w:keepNext/>
        <w:spacing w:before="220" w:after="120"/>
      </w:pPr>
      <w:r>
        <w:rPr>
          <w:rFonts w:ascii="Arial" w:hAnsi="Arial" w:cs="Arial" w:eastAsia="Arial"/>
          <w:b/>
          <w:bCs/>
          <w:color w:val="2E74B5"/>
          <w:sz w:val="24"/>
          <w:szCs w:val="24"/>
        </w:rPr>
        <w:t>VPS en Chile (V2Networks, Santiago)</w:t>
      </w:r>
    </w:p>
    <w:p>
      <w:pPr>
        <w:spacing w:before="0" w:after="120" w:line="276" w:lineRule="auto"/>
        <w:jc w:val="both"/>
      </w:pPr>
      <w:r>
        <w:rPr>
          <w:rFonts w:ascii="Arial" w:hAnsi="Arial" w:cs="Arial" w:eastAsia="Arial"/>
          <w:b/>
          <w:bCs/>
          <w:sz w:val="20"/>
          <w:szCs w:val="20"/>
        </w:rPr>
        <w:t>Ubicación de los datos:</w:t>
      </w:r>
      <w:r>
        <w:rPr>
          <w:rFonts w:ascii="Arial" w:hAnsi="Arial" w:cs="Arial" w:eastAsia="Arial"/>
          <w:sz w:val="20"/>
          <w:szCs w:val="20"/>
        </w:rPr>
        <w:t xml:space="preserve"> Santiago, Chile. </w:t>
      </w:r>
      <w:r>
        <w:rPr>
          <w:rFonts w:ascii="Arial" w:hAnsi="Arial" w:cs="Arial" w:eastAsia="Arial"/>
          <w:b/>
          <w:bCs/>
          <w:sz w:val="20"/>
          <w:szCs w:val="20"/>
        </w:rPr>
        <w:t>Transferencia internacional:</w:t>
      </w:r>
      <w:r>
        <w:rPr>
          <w:rFonts w:ascii="Arial" w:hAnsi="Arial" w:cs="Arial" w:eastAsia="Arial"/>
          <w:sz w:val="20"/>
          <w:szCs w:val="20"/>
        </w:rPr>
        <w:t xml:space="preserve"> No. Precios en CLP con IVA incluido según el sitio del proveedor; respaldos semanales externos incluidos (se complementan con respaldo diario propio cifrado) (V2Networks, 2026).</w:t>
      </w:r>
    </w:p>
    <w:p>
      <w:pPr>
        <w:keepNext/>
        <w:spacing w:before="160" w:after="0"/>
      </w:pPr>
      <w:r>
        <w:rPr>
          <w:rFonts w:ascii="Arial" w:hAnsi="Arial" w:cs="Arial" w:eastAsia="Arial"/>
          <w:b/>
          <w:bCs/>
          <w:sz w:val="21"/>
          <w:szCs w:val="21"/>
        </w:rPr>
        <w:t>Tabla 17</w:t>
      </w:r>
    </w:p>
    <w:p>
      <w:pPr>
        <w:keepNext/>
        <w:spacing w:before="0" w:after="80"/>
      </w:pPr>
      <w:r>
        <w:rPr>
          <w:rFonts w:ascii="Arial" w:hAnsi="Arial" w:cs="Arial" w:eastAsia="Arial"/>
          <w:i/>
          <w:iCs/>
          <w:sz w:val="21"/>
          <w:szCs w:val="21"/>
        </w:rPr>
        <w:t>VPS en Chile (V2Networks, Santiago)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140"/>
        <w:gridCol w:w="6460"/>
        <w:gridCol w:w="1900"/>
      </w:tblGrid>
      <w:tr>
        <w:trPr>
          <w:tblHeader/>
        </w:trPr>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Escenario</w:t>
            </w:r>
          </w:p>
        </w:tc>
        <w:tc>
          <w:tcPr>
            <w:tcW w:w="64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Componente</w:t>
            </w:r>
          </w:p>
        </w:tc>
        <w:tc>
          <w:tcPr>
            <w:tcW w:w="19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CLP/mes</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64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VPS Cloud-1 (2 vCPU, 4 GB, 25 GB NVMe) — API + BD + respaldo semanal</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$19.900</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Bajo</w:t>
            </w:r>
          </w:p>
        </w:tc>
        <w:tc>
          <w:tcPr>
            <w:tcW w:w="64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 dominio prorrateado</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$20.732</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64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VPS Cloud-2 (2 vCPU, 8 GB, 50 GB) — API/web</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$24.900</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64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VPS Cloud-1 — BD PostgreSQL dedicada</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$19.900</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Medio</w:t>
            </w:r>
          </w:p>
        </w:tc>
        <w:tc>
          <w:tcPr>
            <w:tcW w:w="646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 dominio prorrateado</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$45.632</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64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 VPS Cloud-3 (4 vCPU, 12 GB) — API/web</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$59.800</w:t>
            </w:r>
          </w:p>
        </w:tc>
      </w:tr>
      <w:tr>
        <w:trPr>
          <w:cantSplit/>
        </w:trPr>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646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VPS Cloud-2 — BD PostgreSQL</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$24.900</w:t>
            </w:r>
          </w:p>
        </w:tc>
      </w:tr>
      <w:tr>
        <w:trPr>
          <w:cantSplit/>
        </w:trPr>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Alto</w:t>
            </w:r>
          </w:p>
        </w:tc>
        <w:tc>
          <w:tcPr>
            <w:tcW w:w="64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Subtotal mensual + dominio prorrateado</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b/>
                <w:bCs/>
                <w:sz w:val="15"/>
                <w:szCs w:val="15"/>
              </w:rPr>
              <w:t>$85.532</w:t>
            </w:r>
          </w:p>
        </w:tc>
      </w:tr>
    </w:tbl>
    <w:p>
      <w:pPr>
        <w:spacing w:before="0" w:after="60"/>
      </w:pPr>
    </w:p>
    <w:p>
      <w:pPr>
        <w:pStyle w:val="Heading2"/>
        <w:keepNext/>
        <w:spacing w:before="220" w:after="120"/>
      </w:pPr>
      <w:r>
        <w:rPr>
          <w:rFonts w:ascii="Arial" w:hAnsi="Arial" w:cs="Arial" w:eastAsia="Arial"/>
          <w:b/>
          <w:bCs/>
          <w:color w:val="2E74B5"/>
          <w:sz w:val="24"/>
          <w:szCs w:val="24"/>
        </w:rPr>
        <w:t>Resumen comparativo</w:t>
      </w:r>
    </w:p>
    <w:p>
      <w:pPr>
        <w:keepNext/>
        <w:spacing w:before="160" w:after="0"/>
      </w:pPr>
      <w:r>
        <w:rPr>
          <w:rFonts w:ascii="Arial" w:hAnsi="Arial" w:cs="Arial" w:eastAsia="Arial"/>
          <w:b/>
          <w:bCs/>
          <w:sz w:val="21"/>
          <w:szCs w:val="21"/>
        </w:rPr>
        <w:t>Tabla 18</w:t>
      </w:r>
    </w:p>
    <w:p>
      <w:pPr>
        <w:keepNext/>
        <w:spacing w:before="0" w:after="80"/>
      </w:pPr>
      <w:r>
        <w:rPr>
          <w:rFonts w:ascii="Arial" w:hAnsi="Arial" w:cs="Arial" w:eastAsia="Arial"/>
          <w:i/>
          <w:iCs/>
          <w:sz w:val="21"/>
          <w:szCs w:val="21"/>
        </w:rPr>
        <w:t>Costo mensual y anual en CLP por proveedor y escenario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375"/>
        <w:gridCol w:w="1140"/>
        <w:gridCol w:w="1235"/>
        <w:gridCol w:w="1140"/>
        <w:gridCol w:w="1235"/>
        <w:gridCol w:w="1140"/>
        <w:gridCol w:w="1235"/>
      </w:tblGrid>
      <w:tr>
        <w:trPr>
          <w:tblHeader/>
        </w:trPr>
        <w:tc>
          <w:tcPr>
            <w:tcW w:w="237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Proveedor</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Bajo / mes</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Bajo / año</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Medio / mes</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Medio / año</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Alto / mes</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Alto / año</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AWS (sa-east-1 São Paulo)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$48.946</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$587.353</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$189.578</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$2.274.938</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$356.713</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$4.280.552</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Microsoft Azure (Chile Central, Santiago)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$32.656</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$391.867</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$228.785</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$2.745.416</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$432.982</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$5.195.784</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Google Cloud (southamerica-west1, Santiago)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$46.545</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$558.536</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$178.724</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$2.144.687</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$332.884</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$3.994.608</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VPS en Chile (V2Networks, Santiago)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$20.732</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$248.790</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$45.632</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$547.590</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$85.532</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$1.026.390</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Conversión con el dólar observado del 01-10-2026, $972,60 (SII, 2026b); precios consultados el 09-10-2026.</w:t>
      </w:r>
    </w:p>
    <w:p>
      <w:pPr>
        <w:keepNext/>
        <w:spacing w:before="160" w:after="0"/>
      </w:pPr>
      <w:r>
        <w:rPr>
          <w:rFonts w:ascii="Arial" w:hAnsi="Arial" w:cs="Arial" w:eastAsia="Arial"/>
          <w:b/>
          <w:bCs/>
          <w:sz w:val="21"/>
          <w:szCs w:val="21"/>
        </w:rPr>
        <w:t>Tabla 19</w:t>
      </w:r>
    </w:p>
    <w:p>
      <w:pPr>
        <w:keepNext/>
        <w:spacing w:before="0" w:after="80"/>
      </w:pPr>
      <w:r>
        <w:rPr>
          <w:rFonts w:ascii="Arial" w:hAnsi="Arial" w:cs="Arial" w:eastAsia="Arial"/>
          <w:i/>
          <w:iCs/>
          <w:sz w:val="21"/>
          <w:szCs w:val="21"/>
        </w:rPr>
        <w:t>Costos comunes a todos los proveedores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375"/>
        <w:gridCol w:w="4750"/>
        <w:gridCol w:w="2375"/>
      </w:tblGrid>
      <w:tr>
        <w:trPr>
          <w:tblHeader/>
        </w:trPr>
        <w:tc>
          <w:tcPr>
            <w:tcW w:w="237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Costo común</w:t>
            </w:r>
          </w:p>
        </w:tc>
        <w:tc>
          <w:tcPr>
            <w:tcW w:w="47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Valor</w:t>
            </w:r>
          </w:p>
        </w:tc>
        <w:tc>
          <w:tcPr>
            <w:tcW w:w="237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Fuente / fecha</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Dominio .cl</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$9.990 anual (exento de IVA)</w:t>
            </w:r>
          </w:p>
        </w:tc>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(NIC Chile, 2026)</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Certificado SSL/TLS</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$0 (Let's Encrypt) o incluido en el balanceador cloud</w:t>
            </w:r>
          </w:p>
        </w:tc>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Correo transaccional</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US$ 0,10 por 1.000 correos (Amazon SES)</w:t>
            </w:r>
          </w:p>
        </w:tc>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(Mailblast, 2026)</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Comisión pasarela Webpay Plus</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$135,1 por abono (mezcla 60/40) → $1.497.856 al año con 3 sucursales (recuperación media)</w:t>
            </w:r>
          </w:p>
        </w:tc>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(Transbank, 2026)</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Comisión Mercado Pago</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$113,9 por abono (3,19% + IVA)</w:t>
            </w:r>
          </w:p>
        </w:tc>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(Digitalízame, 2026)</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Soporte</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Básico gratuito; planes pagados desde US$ 29/mes</w:t>
            </w:r>
          </w:p>
        </w:tc>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(Microsoft, 2026b; Google Cloud, 2026)</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La referencia de cada valor se indica en la tercera columna.</w:t>
      </w:r>
    </w:p>
    <w:p>
      <w:pPr>
        <w:pBdr>
          <w:left w:val="single" w:sz="18" w:space="6" w:color="C9A227"/>
        </w:pBdr>
        <w:shd w:val="clear" w:color="auto" w:fill="FFF4D6"/>
        <w:spacing w:before="80" w:after="140" w:line="264" w:lineRule="auto"/>
        <w:ind w:left="120" w:right="120"/>
      </w:pPr>
      <w:r>
        <w:rPr>
          <w:rFonts w:ascii="Arial" w:hAnsi="Arial" w:cs="Arial" w:eastAsia="Arial"/>
          <w:b/>
          <w:bCs/>
          <w:sz w:val="21"/>
          <w:szCs w:val="21"/>
        </w:rPr>
        <w:t xml:space="preserve">SUPUESTO — por validar: </w:t>
      </w:r>
      <w:r>
        <w:rPr>
          <w:rFonts w:ascii="Arial" w:hAnsi="Arial" w:cs="Arial" w:eastAsia="Arial"/>
          <w:sz w:val="21"/>
          <w:szCs w:val="21"/>
        </w:rPr>
        <w:t>Los precios cloud se publican en USD sin IVA. Para servicios digitales prestados por proveedores extranjeros puede aplicar IVA del 19%; se recomienda validarlo con el contador del negocio. Los precios de almacenamiento SSD de Google Cloud usan como referencia la región us-central1 y los de Cloud SQL en Santiago provienen de una fuente agregadora: validar en la calculadora oficial antes de contratar.</w:t>
      </w:r>
    </w:p>
    <w:p>
      <w:pPr>
        <w:spacing w:before="0" w:after="120" w:line="276" w:lineRule="auto"/>
        <w:jc w:val="both"/>
      </w:pPr>
      <w:r>
        <w:rPr>
          <w:rFonts w:ascii="Arial" w:hAnsi="Arial" w:cs="Arial" w:eastAsia="Arial"/>
          <w:b/>
          <w:bCs/>
          <w:sz w:val="22"/>
          <w:szCs w:val="22"/>
        </w:rPr>
        <w:t>Recomendación (análisis de escalamiento): un VPS en Santiago es la alternativa de menor costo con datos en Chile hasta 6 sucursales; la implementación actual usa Supabase en EE. UU. con la transferencia internacional declarada (SC-18).</w:t>
      </w:r>
      <w:r>
        <w:rPr>
          <w:rFonts w:ascii="Arial" w:hAnsi="Arial" w:cs="Arial" w:eastAsia="Arial"/>
          <w:sz w:val="22"/>
          <w:szCs w:val="22"/>
        </w:rPr>
        <w:t xml:space="preserve"> Para el escenario alto, preferir un proveedor con </w:t>
      </w:r>
      <w:r>
        <w:rPr>
          <w:rFonts w:ascii="Arial" w:hAnsi="Arial" w:cs="Arial" w:eastAsia="Arial"/>
          <w:b/>
          <w:bCs/>
          <w:sz w:val="22"/>
          <w:szCs w:val="22"/>
        </w:rPr>
        <w:t>región en Chile</w:t>
      </w:r>
      <w:r>
        <w:rPr>
          <w:rFonts w:ascii="Arial" w:hAnsi="Arial" w:cs="Arial" w:eastAsia="Arial"/>
          <w:sz w:val="22"/>
          <w:szCs w:val="22"/>
        </w:rPr>
        <w:t xml:space="preserve"> (Azure Chile Central o Google Cloud Santiago) para evitar transferencias internacionales de datos personales, que bajo la Ley N° 21.719 exigen garantías adicionales. La región Chile de AWS fue anunciada para 2026 (Amazon, 2025), pero a la fecha de consulta no se confirmó su disponibilidad general, por lo que se cotizó São Paulo (Brasil).</w:t>
      </w:r>
    </w:p>
    <w:p>
      <w:pPr>
        <w:pStyle w:val="Heading1"/>
        <w:keepNext/>
        <w:spacing w:before="360" w:after="160"/>
      </w:pPr>
      <w:r>
        <w:rPr>
          <w:rFonts w:ascii="Arial" w:hAnsi="Arial" w:cs="Arial" w:eastAsia="Arial"/>
          <w:b/>
          <w:bCs/>
          <w:color w:val="1F3864"/>
          <w:sz w:val="28"/>
          <w:szCs w:val="28"/>
        </w:rPr>
        <w:t>10. Valor del Cumplimiento Anticipado de la Ley N° 21.719</w:t>
      </w:r>
    </w:p>
    <w:p>
      <w:pPr>
        <w:spacing w:before="0" w:after="120" w:line="276" w:lineRule="auto"/>
        <w:jc w:val="both"/>
      </w:pPr>
      <w:r>
        <w:rPr>
          <w:rFonts w:ascii="Arial" w:hAnsi="Arial" w:cs="Arial" w:eastAsia="Arial"/>
          <w:sz w:val="22"/>
          <w:szCs w:val="22"/>
        </w:rPr>
        <w:t>El sistema implementa de forma anticipada los requisitos de la Ley N° 21.719 (Ley N° 21.719, 2024), asegurando cumplimiento desde su entrada en vigencia (1 de diciembre de 2026) y evitando adecuaciones posteriores. El costo de incorporar el cumplimiento desde el diseño forma parte del paquete 1.3.4 y 1.4.5 (34 h, $207.774).</w:t>
      </w:r>
    </w:p>
    <w:p>
      <w:pPr>
        <w:keepNext/>
        <w:spacing w:before="160" w:after="0"/>
      </w:pPr>
      <w:r>
        <w:rPr>
          <w:rFonts w:ascii="Arial" w:hAnsi="Arial" w:cs="Arial" w:eastAsia="Arial"/>
          <w:b/>
          <w:bCs/>
          <w:sz w:val="21"/>
          <w:szCs w:val="21"/>
        </w:rPr>
        <w:t>Tabla 20</w:t>
      </w:r>
    </w:p>
    <w:p>
      <w:pPr>
        <w:keepNext/>
        <w:spacing w:before="0" w:after="80"/>
      </w:pPr>
      <w:r>
        <w:rPr>
          <w:rFonts w:ascii="Arial" w:hAnsi="Arial" w:cs="Arial" w:eastAsia="Arial"/>
          <w:i/>
          <w:iCs/>
          <w:sz w:val="21"/>
          <w:szCs w:val="21"/>
        </w:rPr>
        <w:t>Riesgo de sanciones evitado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275"/>
        <w:gridCol w:w="1900"/>
        <w:gridCol w:w="3325"/>
      </w:tblGrid>
      <w:tr>
        <w:trPr>
          <w:tblHeader/>
        </w:trPr>
        <w:tc>
          <w:tcPr>
            <w:tcW w:w="427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Tipo de infracción (régimen sancionatorio, art. 35 — Ley N° 21.719)</w:t>
            </w:r>
          </w:p>
        </w:tc>
        <w:tc>
          <w:tcPr>
            <w:tcW w:w="19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Multa máxima</w:t>
            </w:r>
          </w:p>
        </w:tc>
        <w:tc>
          <w:tcPr>
            <w:tcW w:w="33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Equivalente en CLP (UTM oct-2026 = $72.151)</w:t>
            </w:r>
          </w:p>
        </w:tc>
      </w:tr>
      <w:tr>
        <w:trPr>
          <w:cantSplit/>
        </w:trPr>
        <w:tc>
          <w:tcPr>
            <w:tcW w:w="42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Leve</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5.000 UTM</w:t>
            </w:r>
          </w:p>
        </w:tc>
        <w:tc>
          <w:tcPr>
            <w:tcW w:w="33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$360.755.000</w:t>
            </w:r>
          </w:p>
        </w:tc>
      </w:tr>
      <w:tr>
        <w:trPr>
          <w:cantSplit/>
        </w:trPr>
        <w:tc>
          <w:tcPr>
            <w:tcW w:w="42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Grave</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10.000 UTM</w:t>
            </w:r>
          </w:p>
        </w:tc>
        <w:tc>
          <w:tcPr>
            <w:tcW w:w="33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$721.510.000</w:t>
            </w:r>
          </w:p>
        </w:tc>
      </w:tr>
      <w:tr>
        <w:trPr>
          <w:cantSplit/>
        </w:trPr>
        <w:tc>
          <w:tcPr>
            <w:tcW w:w="42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Gravísima</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20.000 UTM</w:t>
            </w:r>
          </w:p>
        </w:tc>
        <w:tc>
          <w:tcPr>
            <w:tcW w:w="33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$1.443.020.000</w:t>
            </w:r>
          </w:p>
        </w:tc>
      </w:tr>
    </w:tbl>
    <w:p>
      <w:pPr>
        <w:spacing w:before="0" w:after="60"/>
      </w:pPr>
    </w:p>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Montos máximos del régimen sancionatorio (Ley N° 21.719, 2024), convertidos con la UTM de octubre de 2026, $72.151 (SII, 2026a). En caso de reincidencia, para empresas que no son de menor tamaño, la multa puede triplicarse o alcanzar el 2% (graves) o 4% (gravísimas) de los ingresos anuales. Durante los primeros 12 meses de vigencia, las empresas de menor tamaño pueden recibir amonestación escrita en lugar de multa (art. 6° transitorio).</w:t>
      </w:r>
    </w:p>
    <w:p>
      <w:pPr>
        <w:keepNext/>
        <w:spacing w:before="160" w:after="0"/>
      </w:pPr>
      <w:r>
        <w:rPr>
          <w:rFonts w:ascii="Arial" w:hAnsi="Arial" w:cs="Arial" w:eastAsia="Arial"/>
          <w:b/>
          <w:bCs/>
          <w:sz w:val="21"/>
          <w:szCs w:val="21"/>
        </w:rPr>
        <w:t>Tabla 21</w:t>
      </w:r>
    </w:p>
    <w:p>
      <w:pPr>
        <w:keepNext/>
        <w:spacing w:before="0" w:after="80"/>
      </w:pPr>
      <w:r>
        <w:rPr>
          <w:rFonts w:ascii="Arial" w:hAnsi="Arial" w:cs="Arial" w:eastAsia="Arial"/>
          <w:i/>
          <w:iCs/>
          <w:sz w:val="21"/>
          <w:szCs w:val="21"/>
        </w:rPr>
        <w:t>Costos evitados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6840"/>
        <w:gridCol w:w="2660"/>
      </w:tblGrid>
      <w:tr>
        <w:trPr>
          <w:tblHeader/>
        </w:trPr>
        <w:tc>
          <w:tcPr>
            <w:tcW w:w="68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Concepto</w:t>
            </w:r>
          </w:p>
        </w:tc>
        <w:tc>
          <w:tcPr>
            <w:tcW w:w="26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Monto estimado</w:t>
            </w:r>
          </w:p>
        </w:tc>
      </w:tr>
      <w:tr>
        <w:trPr>
          <w:cantSplit/>
        </w:trPr>
        <w:tc>
          <w:tcPr>
            <w:tcW w:w="68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Costo de cumplimiento desde el diseño (1.3.4 + 1.4.5)</w:t>
            </w:r>
          </w:p>
        </w:tc>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$207.774</w:t>
            </w:r>
          </w:p>
        </w:tc>
      </w:tr>
      <w:tr>
        <w:trPr>
          <w:cantSplit/>
        </w:trPr>
        <w:tc>
          <w:tcPr>
            <w:tcW w:w="68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Costo de adecuar el sistema después del lanzamiento (120 h de rediseño de BD, migración de datos, nuevas pantallas y pruebas; supuesto S-18)</w:t>
            </w:r>
          </w:p>
        </w:tc>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$733.320</w:t>
            </w:r>
          </w:p>
        </w:tc>
      </w:tr>
      <w:tr>
        <w:trPr>
          <w:cantSplit/>
        </w:trPr>
        <w:tc>
          <w:tcPr>
            <w:tcW w:w="68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Costo evitado de adecuación</w:t>
            </w:r>
          </w:p>
        </w:tc>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$525.546</w:t>
            </w:r>
          </w:p>
        </w:tc>
      </w:tr>
      <w:tr>
        <w:trPr>
          <w:cantSplit/>
        </w:trPr>
        <w:tc>
          <w:tcPr>
            <w:tcW w:w="68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Multa máxima evitada por infracción grave (p. ej., tratar datos sin consentimiento o no notificar una brecha)</w:t>
            </w:r>
          </w:p>
        </w:tc>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$721.510.000</w:t>
            </w:r>
          </w:p>
        </w:tc>
      </w:tr>
    </w:tbl>
    <w:p>
      <w:pPr>
        <w:spacing w:before="0" w:after="60"/>
      </w:pPr>
    </w:p>
    <w:p>
      <w:pPr>
        <w:pBdr>
          <w:left w:val="single" w:sz="18" w:space="6" w:color="C9A227"/>
        </w:pBdr>
        <w:shd w:val="clear" w:color="auto" w:fill="FFF4D6"/>
        <w:spacing w:before="80" w:after="140" w:line="264" w:lineRule="auto"/>
        <w:ind w:left="120" w:right="120"/>
      </w:pPr>
      <w:r>
        <w:rPr>
          <w:rFonts w:ascii="Arial" w:hAnsi="Arial" w:cs="Arial" w:eastAsia="Arial"/>
          <w:b/>
          <w:bCs/>
          <w:sz w:val="21"/>
          <w:szCs w:val="21"/>
        </w:rPr>
        <w:t xml:space="preserve">SUPUESTO — por validar: </w:t>
      </w:r>
      <w:r>
        <w:rPr>
          <w:rFonts w:ascii="Arial" w:hAnsi="Arial" w:cs="Arial" w:eastAsia="Arial"/>
          <w:sz w:val="21"/>
          <w:szCs w:val="21"/>
        </w:rPr>
        <w:t>S-18: el esfuerzo de adecuación posterior (120 h) es una estimación del equipo basada en el alcance del módulo «Mis datos», el rediseño del modelo de datos y la migración de cuentas existentes; validar con el docente.</w:t>
      </w:r>
    </w:p>
    <w:p>
      <w:pPr>
        <w:pStyle w:val="Heading1"/>
        <w:keepNext/>
        <w:spacing w:before="360" w:after="160"/>
      </w:pPr>
      <w:r>
        <w:rPr>
          <w:rFonts w:ascii="Arial" w:hAnsi="Arial" w:cs="Arial" w:eastAsia="Arial"/>
          <w:b/>
          <w:bCs/>
          <w:color w:val="1F3864"/>
          <w:sz w:val="28"/>
          <w:szCs w:val="28"/>
        </w:rPr>
        <w:t>11. Supuestos</w:t>
      </w:r>
    </w:p>
    <w:p>
      <w:pPr>
        <w:keepNext/>
        <w:spacing w:before="160" w:after="0"/>
      </w:pPr>
      <w:r>
        <w:rPr>
          <w:rFonts w:ascii="Arial" w:hAnsi="Arial" w:cs="Arial" w:eastAsia="Arial"/>
          <w:b/>
          <w:bCs/>
          <w:sz w:val="21"/>
          <w:szCs w:val="21"/>
        </w:rPr>
        <w:t>Tabla 22</w:t>
      </w:r>
    </w:p>
    <w:p>
      <w:pPr>
        <w:keepNext/>
        <w:spacing w:before="0" w:after="80"/>
      </w:pPr>
      <w:r>
        <w:rPr>
          <w:rFonts w:ascii="Arial" w:hAnsi="Arial" w:cs="Arial" w:eastAsia="Arial"/>
          <w:i/>
          <w:iCs/>
          <w:sz w:val="21"/>
          <w:szCs w:val="21"/>
        </w:rPr>
        <w:t>Supuestos de cálculo (marcados para validación)</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760"/>
        <w:gridCol w:w="4750"/>
        <w:gridCol w:w="2850"/>
        <w:gridCol w:w="1140"/>
      </w:tblGrid>
      <w:tr>
        <w:trPr>
          <w:tblHeader/>
        </w:trPr>
        <w:tc>
          <w:tcPr>
            <w:tcW w:w="7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w:t>
            </w:r>
          </w:p>
        </w:tc>
        <w:tc>
          <w:tcPr>
            <w:tcW w:w="47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Supuesto</w:t>
            </w:r>
          </w:p>
        </w:tc>
        <w:tc>
          <w:tcPr>
            <w:tcW w:w="28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Valor usado</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Estado</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S-01</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Interpretación de las cifras de demanda: «clientes/día» = clientes atendidos en día peak; «se van» se suma para obtener la demanda total.</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Demanda peak = 156 clientes/día (130 atendidos + 26 se van)</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S-02</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Días de operación por semana</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6 días (lunes a sábado)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S-03</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Días peak por semana</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 días (viernes y sábado)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S-04</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Factor de demanda de un día normal respecto del peak</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60% de los atendidos</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S-05</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Factor de abandono de un día normal respecto del peak (menor congestión)</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 de los que se van</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S-06</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Semanas por mes / por año</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4,33 / 52 (sin descontar feriados)</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S-07</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Precio de referencia para valorizar clientes perdidos: Corte (no se sabe qué servicio habría tomado cada cliente)</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$11.900 (precio real del negocio)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Dato del negocio</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S-08</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Margen de contribución del local (tras comisión del barbero)</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50%</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S-09</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Adopción de reserva online en régimen</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 de las atenciones</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S-10</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No-show de una reserva sin abono (referencial) / con abono</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 / 5%</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S-11</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Mezcla de medios de pago del abono</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60% débito/prepago, 40% crédito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S-12</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Esfuerzo del equipo y valorización de la hora</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312 h × $6.111/h</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Supuestos definidos por el equipo de proyecto; el valor hora se basa en el sueldo bruto de referencia de un desarrollador junior (Indeed, 2026).</w:t>
      </w:r>
    </w:p>
    <w:p>
      <w:pPr>
        <w:pStyle w:val="Heading1"/>
        <w:keepNext/>
        <w:pageBreakBefore/>
        <w:spacing w:before="360" w:after="160"/>
      </w:pPr>
      <w:r>
        <w:rPr>
          <w:rFonts w:ascii="Arial" w:hAnsi="Arial" w:cs="Arial" w:eastAsia="Arial"/>
          <w:b/>
          <w:bCs/>
          <w:color w:val="1F3864"/>
          <w:sz w:val="28"/>
          <w:szCs w:val="28"/>
        </w:rPr>
        <w:t>Referencias</w:t>
      </w:r>
    </w:p>
    <w:p>
      <w:pPr>
        <w:spacing w:before="0" w:after="120" w:line="360" w:lineRule="auto"/>
        <w:ind w:left="720" w:hanging="720"/>
      </w:pPr>
      <w:r>
        <w:rPr>
          <w:rFonts w:ascii="Arial" w:hAnsi="Arial" w:cs="Arial" w:eastAsia="Arial"/>
          <w:sz w:val="22"/>
          <w:szCs w:val="22"/>
        </w:rPr>
        <w:t xml:space="preserve">Amazon Web Services [AWS]. (2026). </w:t>
      </w:r>
      <w:r>
        <w:rPr>
          <w:rFonts w:ascii="Arial" w:hAnsi="Arial" w:cs="Arial" w:eastAsia="Arial"/>
          <w:i/>
          <w:iCs/>
          <w:sz w:val="22"/>
          <w:szCs w:val="22"/>
        </w:rPr>
        <w:t>AWS Price List: Amazon EC2, Amazon RDS for PostgreSQL y Amazon S3, región South America (São Paulo)</w:t>
      </w:r>
      <w:r>
        <w:rPr>
          <w:rFonts w:ascii="Arial" w:hAnsi="Arial" w:cs="Arial" w:eastAsia="Arial"/>
          <w:sz w:val="22"/>
          <w:szCs w:val="22"/>
        </w:rPr>
        <w:t xml:space="preserve"> [Conjunto de datos]. Recuperado el 6 de octubre de 2026, de https://b0.p.awsstatic.com/pricing/2.0/meteredUnitMaps/</w:t>
      </w:r>
    </w:p>
    <w:p>
      <w:pPr>
        <w:spacing w:before="0" w:after="120" w:line="360" w:lineRule="auto"/>
        <w:ind w:left="720" w:hanging="720"/>
      </w:pPr>
      <w:r>
        <w:rPr>
          <w:rFonts w:ascii="Arial" w:hAnsi="Arial" w:cs="Arial" w:eastAsia="Arial"/>
          <w:sz w:val="22"/>
          <w:szCs w:val="22"/>
        </w:rPr>
        <w:t xml:space="preserve">Amazon. (2025, 7 de mayo). </w:t>
      </w:r>
      <w:r>
        <w:rPr>
          <w:rFonts w:ascii="Arial" w:hAnsi="Arial" w:cs="Arial" w:eastAsia="Arial"/>
          <w:i/>
          <w:iCs/>
          <w:sz w:val="22"/>
          <w:szCs w:val="22"/>
        </w:rPr>
        <w:t>Amazon to invest more than $4 billion to launch infrastructure region in Chile</w:t>
      </w:r>
      <w:r>
        <w:rPr>
          <w:rFonts w:ascii="Arial" w:hAnsi="Arial" w:cs="Arial" w:eastAsia="Arial"/>
          <w:sz w:val="22"/>
          <w:szCs w:val="22"/>
        </w:rPr>
        <w:t xml:space="preserve"> [Comunicado de prensa]. Business Wire. https://www.businesswire.com/news/home/20250507585471/en/</w:t>
      </w:r>
    </w:p>
    <w:p>
      <w:pPr>
        <w:spacing w:before="0" w:after="120" w:line="360" w:lineRule="auto"/>
        <w:ind w:left="720" w:hanging="720"/>
      </w:pPr>
      <w:r>
        <w:rPr>
          <w:rFonts w:ascii="Arial" w:hAnsi="Arial" w:cs="Arial" w:eastAsia="Arial"/>
          <w:sz w:val="22"/>
          <w:szCs w:val="22"/>
        </w:rPr>
        <w:t xml:space="preserve">Bytebase. (2026). </w:t>
      </w:r>
      <w:r>
        <w:rPr>
          <w:rFonts w:ascii="Arial" w:hAnsi="Arial" w:cs="Arial" w:eastAsia="Arial"/>
          <w:i/>
          <w:iCs/>
          <w:sz w:val="22"/>
          <w:szCs w:val="22"/>
        </w:rPr>
        <w:t>Google Cloud SQL pricing: every machine type, Enterprise &amp; Enterprise Plus</w:t>
      </w:r>
      <w:r>
        <w:rPr>
          <w:rFonts w:ascii="Arial" w:hAnsi="Arial" w:cs="Arial" w:eastAsia="Arial"/>
          <w:sz w:val="22"/>
          <w:szCs w:val="22"/>
        </w:rPr>
        <w:t>. Recuperado el 6 de octubre de 2026, de https://www.bytebase.com/dbcost/cloudsql-pricing/</w:t>
      </w:r>
    </w:p>
    <w:p>
      <w:pPr>
        <w:spacing w:before="0" w:after="120" w:line="360" w:lineRule="auto"/>
        <w:ind w:left="720" w:hanging="720"/>
      </w:pPr>
      <w:r>
        <w:rPr>
          <w:rFonts w:ascii="Arial" w:hAnsi="Arial" w:cs="Arial" w:eastAsia="Arial"/>
          <w:sz w:val="22"/>
          <w:szCs w:val="22"/>
        </w:rPr>
        <w:t xml:space="preserve">Digitalízame. (2026). </w:t>
      </w:r>
      <w:r>
        <w:rPr>
          <w:rFonts w:ascii="Arial" w:hAnsi="Arial" w:cs="Arial" w:eastAsia="Arial"/>
          <w:i/>
          <w:iCs/>
          <w:sz w:val="22"/>
          <w:szCs w:val="22"/>
        </w:rPr>
        <w:t>Comisiones de Transbank, Mercado Pago y Flow en Chile (2026)</w:t>
      </w:r>
      <w:r>
        <w:rPr>
          <w:rFonts w:ascii="Arial" w:hAnsi="Arial" w:cs="Arial" w:eastAsia="Arial"/>
          <w:sz w:val="22"/>
          <w:szCs w:val="22"/>
        </w:rPr>
        <w:t>. https://digitalizame.cl/comisiones-pasarelas-de-pago-chile/</w:t>
      </w:r>
    </w:p>
    <w:p>
      <w:pPr>
        <w:spacing w:before="0" w:after="120" w:line="360" w:lineRule="auto"/>
        <w:ind w:left="720" w:hanging="720"/>
      </w:pPr>
      <w:r>
        <w:rPr>
          <w:rFonts w:ascii="Arial" w:hAnsi="Arial" w:cs="Arial" w:eastAsia="Arial"/>
          <w:sz w:val="22"/>
          <w:szCs w:val="22"/>
        </w:rPr>
        <w:t xml:space="preserve">gcloud-compute.com. (2026). </w:t>
      </w:r>
      <w:r>
        <w:rPr>
          <w:rFonts w:ascii="Arial" w:hAnsi="Arial" w:cs="Arial" w:eastAsia="Arial"/>
          <w:i/>
          <w:iCs/>
          <w:sz w:val="22"/>
          <w:szCs w:val="22"/>
        </w:rPr>
        <w:t>e2-small: Google Compute Engine machine type pricing</w:t>
      </w:r>
      <w:r>
        <w:rPr>
          <w:rFonts w:ascii="Arial" w:hAnsi="Arial" w:cs="Arial" w:eastAsia="Arial"/>
          <w:sz w:val="22"/>
          <w:szCs w:val="22"/>
        </w:rPr>
        <w:t>. Recuperado el 6 de octubre de 2026, de https://gcloud-compute.com/e2-small.html</w:t>
      </w:r>
    </w:p>
    <w:p>
      <w:pPr>
        <w:spacing w:before="0" w:after="120" w:line="360" w:lineRule="auto"/>
        <w:ind w:left="720" w:hanging="720"/>
      </w:pPr>
      <w:r>
        <w:rPr>
          <w:rFonts w:ascii="Arial" w:hAnsi="Arial" w:cs="Arial" w:eastAsia="Arial"/>
          <w:sz w:val="22"/>
          <w:szCs w:val="22"/>
        </w:rPr>
        <w:t xml:space="preserve">Google Cloud. (2026). </w:t>
      </w:r>
      <w:r>
        <w:rPr>
          <w:rFonts w:ascii="Arial" w:hAnsi="Arial" w:cs="Arial" w:eastAsia="Arial"/>
          <w:i/>
          <w:iCs/>
          <w:sz w:val="22"/>
          <w:szCs w:val="22"/>
        </w:rPr>
        <w:t>Standard Support</w:t>
      </w:r>
      <w:r>
        <w:rPr>
          <w:rFonts w:ascii="Arial" w:hAnsi="Arial" w:cs="Arial" w:eastAsia="Arial"/>
          <w:sz w:val="22"/>
          <w:szCs w:val="22"/>
        </w:rPr>
        <w:t>. Recuperado el 6 de octubre de 2026, de https://cloud.google.com/support/standard</w:t>
      </w:r>
    </w:p>
    <w:p>
      <w:pPr>
        <w:spacing w:before="0" w:after="120" w:line="360" w:lineRule="auto"/>
        <w:ind w:left="720" w:hanging="720"/>
      </w:pPr>
      <w:r>
        <w:rPr>
          <w:rFonts w:ascii="Arial" w:hAnsi="Arial" w:cs="Arial" w:eastAsia="Arial"/>
          <w:sz w:val="22"/>
          <w:szCs w:val="22"/>
        </w:rPr>
        <w:t xml:space="preserve">Indeed. (2026). </w:t>
      </w:r>
      <w:r>
        <w:rPr>
          <w:rFonts w:ascii="Arial" w:hAnsi="Arial" w:cs="Arial" w:eastAsia="Arial"/>
          <w:i/>
          <w:iCs/>
          <w:sz w:val="22"/>
          <w:szCs w:val="22"/>
        </w:rPr>
        <w:t>Sueldo de desarrollador/a junior en Chile</w:t>
      </w:r>
      <w:r>
        <w:rPr>
          <w:rFonts w:ascii="Arial" w:hAnsi="Arial" w:cs="Arial" w:eastAsia="Arial"/>
          <w:sz w:val="22"/>
          <w:szCs w:val="22"/>
        </w:rPr>
        <w:t>. Recuperado el 6 de octubre de 2026, de https://cl.indeed.com/career/desarrollador-junior/salaries</w:t>
      </w:r>
    </w:p>
    <w:p>
      <w:pPr>
        <w:spacing w:before="0" w:after="120" w:line="360" w:lineRule="auto"/>
        <w:ind w:left="720" w:hanging="720"/>
      </w:pPr>
      <w:r>
        <w:rPr>
          <w:rFonts w:ascii="Arial" w:hAnsi="Arial" w:cs="Arial" w:eastAsia="Arial"/>
          <w:sz w:val="22"/>
          <w:szCs w:val="22"/>
        </w:rPr>
        <w:t xml:space="preserve">Ley N° 21.719. (2024, 13 de diciembre). </w:t>
      </w:r>
      <w:r>
        <w:rPr>
          <w:rFonts w:ascii="Arial" w:hAnsi="Arial" w:cs="Arial" w:eastAsia="Arial"/>
          <w:i/>
          <w:iCs/>
          <w:sz w:val="22"/>
          <w:szCs w:val="22"/>
        </w:rPr>
        <w:t>Regula la protección y el tratamiento de los datos personales y crea la Agencia de Protección de Datos Personales</w:t>
      </w:r>
      <w:r>
        <w:rPr>
          <w:rFonts w:ascii="Arial" w:hAnsi="Arial" w:cs="Arial" w:eastAsia="Arial"/>
          <w:sz w:val="22"/>
          <w:szCs w:val="22"/>
        </w:rPr>
        <w:t>. Diario Oficial de la República de Chile. https://www.bcn.cl/leychile/navegar?idNorma=1209272</w:t>
      </w:r>
    </w:p>
    <w:p>
      <w:pPr>
        <w:spacing w:before="0" w:after="120" w:line="360" w:lineRule="auto"/>
        <w:ind w:left="720" w:hanging="720"/>
      </w:pPr>
      <w:r>
        <w:rPr>
          <w:rFonts w:ascii="Arial" w:hAnsi="Arial" w:cs="Arial" w:eastAsia="Arial"/>
          <w:sz w:val="22"/>
          <w:szCs w:val="22"/>
        </w:rPr>
        <w:t xml:space="preserve">Mailblast. (2026). </w:t>
      </w:r>
      <w:r>
        <w:rPr>
          <w:rFonts w:ascii="Arial" w:hAnsi="Arial" w:cs="Arial" w:eastAsia="Arial"/>
          <w:i/>
          <w:iCs/>
          <w:sz w:val="22"/>
          <w:szCs w:val="22"/>
        </w:rPr>
        <w:t>Amazon SES pricing 2026: $0.10/1,000 emails plus 4 hidden costs</w:t>
      </w:r>
      <w:r>
        <w:rPr>
          <w:rFonts w:ascii="Arial" w:hAnsi="Arial" w:cs="Arial" w:eastAsia="Arial"/>
          <w:sz w:val="22"/>
          <w:szCs w:val="22"/>
        </w:rPr>
        <w:t>. https://www.mailblast.io/blog/ses/amazon-ses-pricing</w:t>
      </w:r>
    </w:p>
    <w:p>
      <w:pPr>
        <w:spacing w:before="0" w:after="120" w:line="360" w:lineRule="auto"/>
        <w:ind w:left="720" w:hanging="720"/>
      </w:pPr>
      <w:r>
        <w:rPr>
          <w:rFonts w:ascii="Arial" w:hAnsi="Arial" w:cs="Arial" w:eastAsia="Arial"/>
          <w:sz w:val="22"/>
          <w:szCs w:val="22"/>
        </w:rPr>
        <w:t xml:space="preserve">Microsoft. (2026a). </w:t>
      </w:r>
      <w:r>
        <w:rPr>
          <w:rFonts w:ascii="Arial" w:hAnsi="Arial" w:cs="Arial" w:eastAsia="Arial"/>
          <w:i/>
          <w:iCs/>
          <w:sz w:val="22"/>
          <w:szCs w:val="22"/>
        </w:rPr>
        <w:t>Azure Retail Prices API: región Chile Central</w:t>
      </w:r>
      <w:r>
        <w:rPr>
          <w:rFonts w:ascii="Arial" w:hAnsi="Arial" w:cs="Arial" w:eastAsia="Arial"/>
          <w:sz w:val="22"/>
          <w:szCs w:val="22"/>
        </w:rPr>
        <w:t xml:space="preserve"> [Conjunto de datos]. Recuperado el 6 de octubre de 2026, de https://prices.azure.com/api/retail/prices</w:t>
      </w:r>
    </w:p>
    <w:p>
      <w:pPr>
        <w:spacing w:before="0" w:after="120" w:line="360" w:lineRule="auto"/>
        <w:ind w:left="720" w:hanging="720"/>
      </w:pPr>
      <w:r>
        <w:rPr>
          <w:rFonts w:ascii="Arial" w:hAnsi="Arial" w:cs="Arial" w:eastAsia="Arial"/>
          <w:sz w:val="22"/>
          <w:szCs w:val="22"/>
        </w:rPr>
        <w:t xml:space="preserve">Microsoft. (2026b). </w:t>
      </w:r>
      <w:r>
        <w:rPr>
          <w:rFonts w:ascii="Arial" w:hAnsi="Arial" w:cs="Arial" w:eastAsia="Arial"/>
          <w:i/>
          <w:iCs/>
          <w:sz w:val="22"/>
          <w:szCs w:val="22"/>
        </w:rPr>
        <w:t>Azure support plans comparison</w:t>
      </w:r>
      <w:r>
        <w:rPr>
          <w:rFonts w:ascii="Arial" w:hAnsi="Arial" w:cs="Arial" w:eastAsia="Arial"/>
          <w:sz w:val="22"/>
          <w:szCs w:val="22"/>
        </w:rPr>
        <w:t>. Recuperado el 6 de octubre de 2026, de https://azure.microsoft.com/en-us/support/plans/</w:t>
      </w:r>
    </w:p>
    <w:p>
      <w:pPr>
        <w:spacing w:before="0" w:after="120" w:line="360" w:lineRule="auto"/>
        <w:ind w:left="720" w:hanging="720"/>
      </w:pPr>
      <w:r>
        <w:rPr>
          <w:rFonts w:ascii="Arial" w:hAnsi="Arial" w:cs="Arial" w:eastAsia="Arial"/>
          <w:sz w:val="22"/>
          <w:szCs w:val="22"/>
        </w:rPr>
        <w:t xml:space="preserve">NIC Chile. (2026). </w:t>
      </w:r>
      <w:r>
        <w:rPr>
          <w:rFonts w:ascii="Arial" w:hAnsi="Arial" w:cs="Arial" w:eastAsia="Arial"/>
          <w:i/>
          <w:iCs/>
          <w:sz w:val="22"/>
          <w:szCs w:val="22"/>
        </w:rPr>
        <w:t>Tarifas vigentes para .CL</w:t>
      </w:r>
      <w:r>
        <w:rPr>
          <w:rFonts w:ascii="Arial" w:hAnsi="Arial" w:cs="Arial" w:eastAsia="Arial"/>
          <w:sz w:val="22"/>
          <w:szCs w:val="22"/>
        </w:rPr>
        <w:t>. Recuperado el 6 de octubre de 2026, de https://nic.cl/dominios/tarifas.html</w:t>
      </w:r>
    </w:p>
    <w:p>
      <w:pPr>
        <w:spacing w:before="0" w:after="120" w:line="360" w:lineRule="auto"/>
        <w:ind w:left="720" w:hanging="720"/>
      </w:pPr>
      <w:r>
        <w:rPr>
          <w:rFonts w:ascii="Arial" w:hAnsi="Arial" w:cs="Arial" w:eastAsia="Arial"/>
          <w:sz w:val="22"/>
          <w:szCs w:val="22"/>
        </w:rPr>
        <w:t xml:space="preserve">Pauta. (2026, 6 de octubre). </w:t>
      </w:r>
      <w:r>
        <w:rPr>
          <w:rFonts w:ascii="Arial" w:hAnsi="Arial" w:cs="Arial" w:eastAsia="Arial"/>
          <w:i/>
          <w:iCs/>
          <w:sz w:val="22"/>
          <w:szCs w:val="22"/>
        </w:rPr>
        <w:t>Valor UF hoy martes 6 de octubre: revisa su precio en Chile</w:t>
      </w:r>
      <w:r>
        <w:rPr>
          <w:rFonts w:ascii="Arial" w:hAnsi="Arial" w:cs="Arial" w:eastAsia="Arial"/>
          <w:sz w:val="22"/>
          <w:szCs w:val="22"/>
        </w:rPr>
        <w:t>. https://www.pauta.cl/dato-en-pauta/2026/10/06/valor-de-la-uf-hoy-martes-6-de-octubre-revisa-el-precio-de-la-unidad-de-fomento.html</w:t>
      </w:r>
    </w:p>
    <w:p>
      <w:pPr>
        <w:spacing w:before="0" w:after="120" w:line="360" w:lineRule="auto"/>
        <w:ind w:left="720" w:hanging="720"/>
      </w:pPr>
      <w:r>
        <w:rPr>
          <w:rFonts w:ascii="Arial" w:hAnsi="Arial" w:cs="Arial" w:eastAsia="Arial"/>
          <w:sz w:val="22"/>
          <w:szCs w:val="22"/>
        </w:rPr>
        <w:t xml:space="preserve">Project Management Institute [PMI]. (2021). </w:t>
      </w:r>
      <w:r>
        <w:rPr>
          <w:rFonts w:ascii="Arial" w:hAnsi="Arial" w:cs="Arial" w:eastAsia="Arial"/>
          <w:i/>
          <w:iCs/>
          <w:sz w:val="22"/>
          <w:szCs w:val="22"/>
        </w:rPr>
        <w:t>A guide to the project management body of knowledge (PMBOK® guide)</w:t>
      </w:r>
      <w:r>
        <w:rPr>
          <w:rFonts w:ascii="Arial" w:hAnsi="Arial" w:cs="Arial" w:eastAsia="Arial"/>
          <w:sz w:val="22"/>
          <w:szCs w:val="22"/>
        </w:rPr>
        <w:t xml:space="preserve"> (7.ª ed.). Project Management Institute.</w:t>
      </w:r>
    </w:p>
    <w:p>
      <w:pPr>
        <w:spacing w:before="0" w:after="120" w:line="360" w:lineRule="auto"/>
        <w:ind w:left="720" w:hanging="720"/>
      </w:pPr>
      <w:r>
        <w:rPr>
          <w:rFonts w:ascii="Arial" w:hAnsi="Arial" w:cs="Arial" w:eastAsia="Arial"/>
          <w:sz w:val="22"/>
          <w:szCs w:val="22"/>
        </w:rPr>
        <w:t xml:space="preserve">Servicio de Impuestos Internos [SII]. (2026a). </w:t>
      </w:r>
      <w:r>
        <w:rPr>
          <w:rFonts w:ascii="Arial" w:hAnsi="Arial" w:cs="Arial" w:eastAsia="Arial"/>
          <w:i/>
          <w:iCs/>
          <w:sz w:val="22"/>
          <w:szCs w:val="22"/>
        </w:rPr>
        <w:t>Unidad Tributaria Mensual (UTM) 2026</w:t>
      </w:r>
      <w:r>
        <w:rPr>
          <w:rFonts w:ascii="Arial" w:hAnsi="Arial" w:cs="Arial" w:eastAsia="Arial"/>
          <w:sz w:val="22"/>
          <w:szCs w:val="22"/>
        </w:rPr>
        <w:t>. Recuperado el 6 de octubre de 2026, de https://www.sii.cl/valores_y_fechas/utm/utm2026.htm</w:t>
      </w:r>
    </w:p>
    <w:p>
      <w:pPr>
        <w:spacing w:before="0" w:after="120" w:line="360" w:lineRule="auto"/>
        <w:ind w:left="720" w:hanging="720"/>
      </w:pPr>
      <w:r>
        <w:rPr>
          <w:rFonts w:ascii="Arial" w:hAnsi="Arial" w:cs="Arial" w:eastAsia="Arial"/>
          <w:sz w:val="22"/>
          <w:szCs w:val="22"/>
        </w:rPr>
        <w:t xml:space="preserve">Servicio de Impuestos Internos [SII]. (2026b). </w:t>
      </w:r>
      <w:r>
        <w:rPr>
          <w:rFonts w:ascii="Arial" w:hAnsi="Arial" w:cs="Arial" w:eastAsia="Arial"/>
          <w:i/>
          <w:iCs/>
          <w:sz w:val="22"/>
          <w:szCs w:val="22"/>
        </w:rPr>
        <w:t>Dólar observado 2026</w:t>
      </w:r>
      <w:r>
        <w:rPr>
          <w:rFonts w:ascii="Arial" w:hAnsi="Arial" w:cs="Arial" w:eastAsia="Arial"/>
          <w:sz w:val="22"/>
          <w:szCs w:val="22"/>
        </w:rPr>
        <w:t>. Recuperado el 6 de octubre de 2026, de https://www.sii.cl/valores_y_fechas/dolar/dolar2026.htm</w:t>
      </w:r>
    </w:p>
    <w:p>
      <w:pPr>
        <w:spacing w:before="0" w:after="120" w:line="360" w:lineRule="auto"/>
        <w:ind w:left="720" w:hanging="720"/>
      </w:pPr>
      <w:r>
        <w:rPr>
          <w:rFonts w:ascii="Arial" w:hAnsi="Arial" w:cs="Arial" w:eastAsia="Arial"/>
          <w:sz w:val="22"/>
          <w:szCs w:val="22"/>
        </w:rPr>
        <w:t>Supabase. (2026). Pricing. Recuperado el 22 de octubre de 2026, de https://supabase.com/pricing</w:t>
      </w:r>
    </w:p>
    <w:p>
      <w:pPr>
        <w:spacing w:before="0" w:after="120" w:line="360" w:lineRule="auto"/>
        <w:ind w:left="720" w:hanging="720"/>
      </w:pPr>
      <w:r>
        <w:rPr>
          <w:rFonts w:ascii="Arial" w:hAnsi="Arial" w:cs="Arial" w:eastAsia="Arial"/>
          <w:sz w:val="22"/>
          <w:szCs w:val="22"/>
        </w:rPr>
        <w:t xml:space="preserve">Transbank. (2026). </w:t>
      </w:r>
      <w:r>
        <w:rPr>
          <w:rFonts w:ascii="Arial" w:hAnsi="Arial" w:cs="Arial" w:eastAsia="Arial"/>
          <w:i/>
          <w:iCs/>
          <w:sz w:val="22"/>
          <w:szCs w:val="22"/>
        </w:rPr>
        <w:t>¿Cuánto cobra Webpay por vender por internet?</w:t>
      </w:r>
      <w:r>
        <w:rPr>
          <w:rFonts w:ascii="Arial" w:hAnsi="Arial" w:cs="Arial" w:eastAsia="Arial"/>
          <w:sz w:val="22"/>
          <w:szCs w:val="22"/>
        </w:rPr>
        <w:t xml:space="preserve"> Centro de ayuda. Recuperado el 6 de octubre de 2026, de https://ayuda.transbank.cl/tarifas-vender-webpay</w:t>
      </w:r>
    </w:p>
    <w:p>
      <w:pPr>
        <w:spacing w:before="0" w:after="120" w:line="360" w:lineRule="auto"/>
        <w:ind w:left="720" w:hanging="720"/>
      </w:pPr>
      <w:r>
        <w:rPr>
          <w:rFonts w:ascii="Arial" w:hAnsi="Arial" w:cs="Arial" w:eastAsia="Arial"/>
          <w:sz w:val="22"/>
          <w:szCs w:val="22"/>
        </w:rPr>
        <w:t xml:space="preserve">V2Networks. (2026). </w:t>
      </w:r>
      <w:r>
        <w:rPr>
          <w:rFonts w:ascii="Arial" w:hAnsi="Arial" w:cs="Arial" w:eastAsia="Arial"/>
          <w:i/>
          <w:iCs/>
          <w:sz w:val="22"/>
          <w:szCs w:val="22"/>
        </w:rPr>
        <w:t>VPS Chile, servidores rápidos con respaldo incluido</w:t>
      </w:r>
      <w:r>
        <w:rPr>
          <w:rFonts w:ascii="Arial" w:hAnsi="Arial" w:cs="Arial" w:eastAsia="Arial"/>
          <w:sz w:val="22"/>
          <w:szCs w:val="22"/>
        </w:rPr>
        <w:t>. Recuperado el 6 de octubre de 2026, de https://v2networks.cl/vps/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Plan de Gestión de Costos y Presupuesto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Rosales, Jonathan Ojeda</dc:creator>
  <cp:lastModifiedBy>Un-named</cp:lastModifiedBy>
  <cp:revision>1</cp:revision>
  <dcterms:created xsi:type="dcterms:W3CDTF">2026-08-27T15:54:56.485Z</dcterms:created>
  <dcterms:modified xsi:type="dcterms:W3CDTF">2026-08-27T15:54:56.485Z</dcterms:modified>
  <dc:title>08_Plan_Gestion_Costos_Presupuesto</dc:title>
</cp:coreProperties>
</file>

<file path=docProps/custom.xml><?xml version="1.0" encoding="utf-8"?>
<Properties xmlns="http://schemas.openxmlformats.org/officeDocument/2006/custom-properties" xmlns:vt="http://schemas.openxmlformats.org/officeDocument/2006/docPropsVTypes"/>
</file>