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Plan de Gestión de Recursos, Comunicaciones y Adquisiciones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1.1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Este plan integra la gestión de recursos humanos y tecnológicos, de comunicaciones y de adquisiciones del Proyecto Barbería Big-Boys. Incluye los acuerdos necesarios con proveedores que actúan como </w:t>
      </w:r>
      <w:r>
        <w:rPr>
          <w:rFonts w:ascii="Arial" w:hAnsi="Arial" w:cs="Arial" w:eastAsia="Arial"/>
          <w:b/>
          <w:bCs/>
          <w:sz w:val="22"/>
          <w:szCs w:val="22"/>
        </w:rPr>
        <w:t>encargados de tratamiento</w:t>
      </w:r>
      <w:r>
        <w:rPr>
          <w:rFonts w:ascii="Arial" w:hAnsi="Arial" w:cs="Arial" w:eastAsia="Arial"/>
          <w:sz w:val="22"/>
          <w:szCs w:val="22"/>
        </w:rPr>
        <w:t xml:space="preserve"> de datos personales (pasarela de pago, hosting y correo), conforme a la Ley N° 21.719 (Ley N° 21.719, 2024).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Plan de Gestión de Recursos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2.1 Organigrama del Equipo del Proyecto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Organigrama del Equipo del Proyecto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4750"/>
        <w:gridCol w:w="2850"/>
      </w:tblGrid>
      <w:tr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Persona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Patrocinio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Patrocinador / Dueño/a de Barbería Big-Boys (responsable de los datos)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[Nombre por validar]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Supervisión académica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 Capstone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Fernando Herrera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Dirección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· Analista · UX/UI · QA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Ejecución técnica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Desarrollo Backend, Base de Datos, Web y App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Jonathan Ojeda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Usuarios clave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Administradores de sucursal (SUC-01, SUC-02, SUC-03) y barberos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Personal de Barbería Big-Boys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2.2 Matriz de Roles y Responsabilidades (RACI)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i/>
          <w:iCs/>
          <w:sz w:val="20"/>
          <w:szCs w:val="20"/>
        </w:rPr>
        <w:t>R = Responsable, A = Aprobador, C = Consultado, I = Informado. Versión extendida en «Matriz RACI - Barberia Big Boys.xlsx».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Matriz de Roles y Responsabilidades (RACI)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1425"/>
        <w:gridCol w:w="1425"/>
        <w:gridCol w:w="1425"/>
        <w:gridCol w:w="1425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Actividad / Rol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Jefe Proyecto (YR)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Desarrollador (JO)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Docente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Cliente (Dueño/a)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Constitución y planes de gestión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Requerimientos (ERS) y casos de uso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4+1 y modelo relacional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Diseño UX/UI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Desarrollo API, BD, web y app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Cumplimiento Ley N° 21.719 y gobierno de datos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Configuración del abono y reglas de negocio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y UAT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Cierre y defensa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2.3 Necesidades de Recursos Físicos y Tecnológicos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Equipos computacionales propios del equipo y dispositivos Android de prueba (Android 8.0 o superior).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Herramientas sin costo de licencia: Android Studio, VS Code, GitHub, PostgreSQL, PlantUML, Figma (plan gratuito).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Producción: base de datos en Supabase (PostgreSQL 17, región us-west-2, EE. UU.; SC-18); servidor de aplicaciones por definir (propuesta: VPS en Santiago de 2 vCPU y 4 GB; SC-20); dominio .cl, certificado Let's Encrypt, cuenta de correo transaccional, contrato Webpay Plus.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En cada sucursal: una tablet o PC con navegador para la fila por orden de llegada y el registro de atenciones.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Plan de Gestión de las Comunicaciones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Plan de Gestión de las Comunicaciones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805"/>
        <w:gridCol w:w="2565"/>
        <w:gridCol w:w="1900"/>
        <w:gridCol w:w="1425"/>
        <w:gridCol w:w="1805"/>
      </w:tblGrid>
      <w:tr>
        <w:trPr>
          <w:tblHeader/>
        </w:trPr>
        <w:tc>
          <w:tcPr>
            <w:tcW w:w="180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Tipo de comunicación</w:t>
            </w:r>
          </w:p>
        </w:tc>
        <w:tc>
          <w:tcPr>
            <w:tcW w:w="25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Medio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180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Reunión de avance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Planificar la iteración, revisar avance, riesgos y cambios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Presencial (taller) / videollamada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Semanal (viernes)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Jefe de Proyecto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Informe de estado</w:t>
            </w:r>
          </w:p>
        </w:tc>
        <w:tc>
          <w:tcPr>
            <w:tcW w:w="25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Informar avance de alcance, cronograma, costos y riesgos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Documento 12 en GitHub/Drive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Por hito</w:t>
            </w:r>
          </w:p>
        </w:tc>
        <w:tc>
          <w:tcPr>
            <w:tcW w:w="180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Jefe de Proyecto</w:t>
            </w:r>
          </w:p>
        </w:tc>
      </w:tr>
      <w:tr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Comunicación con el cliente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Validar supuestos, reglas del abono, pantallas y KPIs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Reunión presencial / mensajería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Quincenal y en hitos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Jefe de Proyecto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Revisión académica</w:t>
            </w:r>
          </w:p>
        </w:tc>
        <w:tc>
          <w:tcPr>
            <w:tcW w:w="25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Retroalimentación del docente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Taller de proyectos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Semanal</w:t>
            </w:r>
          </w:p>
        </w:tc>
        <w:tc>
          <w:tcPr>
            <w:tcW w:w="180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Equipo</w:t>
            </w:r>
          </w:p>
        </w:tc>
      </w:tr>
      <w:tr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Comunicación al personal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Capacitación y marcha blanca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Presencial en cada sucursal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Fase 3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Jefe de Proyecto</w:t>
            </w:r>
          </w:p>
        </w:tc>
      </w:tr>
      <w:tr>
        <w:trPr>
          <w:cantSplit/>
        </w:trPr>
        <w:tc>
          <w:tcPr>
            <w:tcW w:w="180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Comunicación a titulares de datos</w:t>
            </w:r>
          </w:p>
        </w:tc>
        <w:tc>
          <w:tcPr>
            <w:tcW w:w="25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Políticas, cambios de versión y respuesta a solicitudes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Web, app y correo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Según evento</w:t>
            </w:r>
          </w:p>
        </w:tc>
        <w:tc>
          <w:tcPr>
            <w:tcW w:w="180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Responsable de cumplimiento</w:t>
            </w:r>
          </w:p>
        </w:tc>
      </w:tr>
      <w:tr>
        <w:trPr>
          <w:cantSplit/>
        </w:trPr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Notificación de brechas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Informar a la Agencia y titulares sin dilaciones indebidas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Canal oficial de la Agencia / correo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Ante incidente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Responsable de cumplimiento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Plan de Gestión de las Adquisiciones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4.1 Bienes o Servicios a Adquirir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Bienes o Servicios a Adquirir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3040"/>
        <w:gridCol w:w="3800"/>
      </w:tblGrid>
      <w:tr>
        <w:trPr>
          <w:tblHeader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Ítem a adquirir</w:t>
            </w:r>
          </w:p>
        </w:tc>
        <w:tc>
          <w:tcPr>
            <w:tcW w:w="3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Tipo de contrato / adquisición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selección del proveedor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Servidor de aplicaciones (propuesta: VPS en Santiago; SC-20)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Suscripción mensual (precio fijo)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Datos en Chile, respaldos, SLA ≥ 99,9%, precio, soporte en español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Base de datos administrada (Supabase)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mensual (Free durante el desarrollo; plan de producción por definir)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PostgreSQL administrado, acuerdo de tratamiento de datos (DPA), respaldos y ubicación de los datos declarada (EE. UU., SC-18)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Dominio .cl</w:t>
            </w:r>
          </w:p>
        </w:tc>
        <w:tc>
          <w:tcPr>
            <w:tcW w:w="30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Inscripción anual ($9.990) (NIC Chile, 2026)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Proveedor oficial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Pasarela de pago (Webpay Plus; alternativa Mercado Pago)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Contrato de afiliación comercial (comisión por transacción)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Certificación PCI DSS, costo por abono de $3.000, plazo de abono, API documentada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Correo transaccional</w:t>
            </w:r>
          </w:p>
        </w:tc>
        <w:tc>
          <w:tcPr>
            <w:tcW w:w="30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Pago por uso (US$0,10 / 1.000) o plan gratuito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Entregabilidad, cumplimiento, ubicación de datos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Cloud (escenario futuro)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Pago por uso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Región en Chile, servicios administrados de PostgreSQL, costo (ver documento 08)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4.2 Gestión de Proveedores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Todo proveedor que acceda a datos personales se formaliza como </w:t>
      </w:r>
      <w:r>
        <w:rPr>
          <w:rFonts w:ascii="Arial" w:hAnsi="Arial" w:cs="Arial" w:eastAsia="Arial"/>
          <w:b/>
          <w:bCs/>
          <w:sz w:val="22"/>
          <w:szCs w:val="22"/>
        </w:rPr>
        <w:t>encargado de tratamiento</w:t>
      </w:r>
      <w:r>
        <w:rPr>
          <w:rFonts w:ascii="Arial" w:hAnsi="Arial" w:cs="Arial" w:eastAsia="Arial"/>
          <w:sz w:val="22"/>
          <w:szCs w:val="22"/>
        </w:rPr>
        <w:t xml:space="preserve"> mediante un contrato que establece: finalidad y alcance limitados a las instrucciones del responsable, confidencialidad, medidas de seguridad, ubicación de los datos, prohibición de subcontratar sin autorización, notificación de incidentes, devolución o eliminación de los datos al término y auditoría. Se evalúa anualmente el cumplimiento de los niveles de servicio y de seguridad.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Mailblast. (2026). </w:t>
      </w:r>
      <w:r>
        <w:rPr>
          <w:rFonts w:ascii="Arial" w:hAnsi="Arial" w:cs="Arial" w:eastAsia="Arial"/>
          <w:i/>
          <w:iCs/>
          <w:sz w:val="22"/>
          <w:szCs w:val="22"/>
        </w:rPr>
        <w:t>Amazon SES pricing 2026: $0.10/1,000 emails plus 4 hidden costs</w:t>
      </w:r>
      <w:r>
        <w:rPr>
          <w:rFonts w:ascii="Arial" w:hAnsi="Arial" w:cs="Arial" w:eastAsia="Arial"/>
          <w:sz w:val="22"/>
          <w:szCs w:val="22"/>
        </w:rPr>
        <w:t>. https://www.mailblast.io/blog/ses/amazon-ses-pricing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NIC Chile. (2026). </w:t>
      </w:r>
      <w:r>
        <w:rPr>
          <w:rFonts w:ascii="Arial" w:hAnsi="Arial" w:cs="Arial" w:eastAsia="Arial"/>
          <w:i/>
          <w:iCs/>
          <w:sz w:val="22"/>
          <w:szCs w:val="22"/>
        </w:rPr>
        <w:t>Tarifas vigentes para .CL</w:t>
      </w:r>
      <w:r>
        <w:rPr>
          <w:rFonts w:ascii="Arial" w:hAnsi="Arial" w:cs="Arial" w:eastAsia="Arial"/>
          <w:sz w:val="22"/>
          <w:szCs w:val="22"/>
        </w:rPr>
        <w:t>. Recuperado el 6 de octubre de 2026, de https://nic.cl/dominios/tarifas.html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Transbank. (2026). </w:t>
      </w:r>
      <w:r>
        <w:rPr>
          <w:rFonts w:ascii="Arial" w:hAnsi="Arial" w:cs="Arial" w:eastAsia="Arial"/>
          <w:i/>
          <w:iCs/>
          <w:sz w:val="22"/>
          <w:szCs w:val="22"/>
        </w:rPr>
        <w:t>¿Cuánto cobra Webpay por vender por internet?</w:t>
      </w:r>
      <w:r>
        <w:rPr>
          <w:rFonts w:ascii="Arial" w:hAnsi="Arial" w:cs="Arial" w:eastAsia="Arial"/>
          <w:sz w:val="22"/>
          <w:szCs w:val="22"/>
        </w:rPr>
        <w:t xml:space="preserve"> Centro de ayuda. Recuperado el 6 de octubre de 2026, de https://ayuda.transbank.cl/tarifas-vender-webpay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Plan de Gestión de Recursos, Comunicaciones y Adquisiciones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2026-08-27T15:54:56.916Z</dcterms:created>
  <dcterms:modified xsi:type="dcterms:W3CDTF">2026-08-27T15:54:56.916Z</dcterms:modified>
  <dc:title>10_Plan_Recursos_Comunicaciones_Adquisiciones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