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 w14:paraId="6803E4C4" w14:textId="77777777" w:rsidR="003A56F9" w:rsidRDefault="00000000">
      <w:pPr>
        <w:spacing w:before="400" w:after="400"/>
        <w:jc w:val="center"/>
      </w:pPr>
      <w:r>
        <w:rPr>
          <w:b/>
          <w:bCs/>
          <w:color w:val="1F3864"/>
          <w:sz w:val="32"/>
          <w:szCs w:val="32"/>
        </w:rPr>
        <w:t>DUOC UC</w:t>
      </w:r>
    </w:p>
    <w:p w14:paraId="69C650E8" w14:textId="77777777" w:rsidR="003A56F9" w:rsidRDefault="00000000">
      <w:pPr>
        <w:spacing w:after="600"/>
        <w:jc w:val="center"/>
      </w:pPr>
      <w:r>
        <w:rPr>
          <w:sz w:val="22"/>
          <w:szCs w:val="22"/>
        </w:rPr>
        <w:t>Escuela de Informática y Telecomunicaciones</w:t>
      </w:r>
    </w:p>
    <w:p w14:paraId="781AD5AE" w14:textId="77777777" w:rsidR="003A56F9" w:rsidRDefault="00000000">
      <w:pPr>
        <w:spacing w:before="800" w:after="200"/>
        <w:jc w:val="center"/>
      </w:pPr>
      <w:r>
        <w:rPr>
          <w:b/>
          <w:bCs/>
          <w:color w:val="1F3864"/>
          <w:sz w:val="32"/>
          <w:szCs w:val="32"/>
        </w:rPr>
        <w:t>Informe de Estado de Avance</w:t>
      </w:r>
    </w:p>
    <w:p w14:paraId="402B79DA" w14:textId="77777777" w:rsidR="008C0EC9" w:rsidRDefault="00000000">
      <w:pPr>
        <w:spacing w:after="800"/>
        <w:jc w:val="center"/>
        <w:rPr>
          <w:b/>
          <w:bCs/>
        </w:rPr>
      </w:pPr>
      <w:r>
        <w:rPr>
          <w:b/>
          <w:bCs/>
        </w:rPr>
        <w:t>Proyecto Barbería Big-Boys</w:t>
      </w:r>
    </w:p>
    <w:p w14:paraId="7FFFE397" w14:textId="77777777" w:rsidR="008C0EC9" w:rsidRDefault="00000000">
      <w:pPr>
        <w:spacing w:after="800"/>
        <w:jc w:val="center"/>
        <w:rPr>
          <w:b/>
          <w:bCs/>
        </w:rPr>
      </w:pPr>
      <w:r>
        <w:rPr>
          <w:b/>
          <w:bCs/>
        </w:rPr>
        <w:t>—</w:t>
      </w:r>
    </w:p>
    <w:p w14:paraId="388468A6" w14:textId="5EEE88B8" w:rsidR="003A56F9" w:rsidRDefault="00000000">
      <w:pPr>
        <w:spacing w:after="800"/>
        <w:jc w:val="center"/>
      </w:pPr>
      <w:r>
        <w:rPr>
          <w:b/>
          <w:bCs/>
        </w:rPr>
        <w:t>Sistema de agendamiento y gestión (web + app móvil)</w:t>
      </w:r>
      <w:proofErr w:type="gramStart"/>
      <w:r>
        <w:rPr>
          <w:b/>
          <w:bCs/>
        </w:rPr>
      </w:r>
      <w:proofErr w:type="gramEnd"/>
      <w:r>
        <w:rPr>
          <w:b/>
          <w:bCs/>
        </w:rPr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300"/>
      </w:tblGrid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Asignatura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 w:val="false"/>
                <w:color w:val="000000"/>
                <w:sz w:val="20"/>
                <w:szCs w:val="20"/>
              </w:rPr>
              <w:t>PTY4614 — Capstone</w:t>
            </w:r>
          </w:p>
        </w:tc>
      </w:tr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Sección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/>
                <w:color w:val="000000"/>
                <w:sz w:val="20"/>
                <w:szCs w:val="20"/>
              </w:rPr>
              <w:t>CAPSTONE_011V</w:t>
            </w:r>
          </w:p>
        </w:tc>
      </w:tr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Docente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/>
                <w:color w:val="000000"/>
                <w:sz w:val="20"/>
                <w:szCs w:val="20"/>
              </w:rPr>
              <w:t>Fernando Herrera</w:t>
            </w:r>
          </w:p>
        </w:tc>
      </w:tr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Integrantes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/>
                <w:color w:val="000000"/>
                <w:sz w:val="20"/>
                <w:szCs w:val="20"/>
              </w:rPr>
              <w:t>Yerko Rosales (Jefe de Proyecto, Analista y Diseño UX/UI) · Jonathan Ojeda (Desarrollo Backend y Base de Datos)</w:t>
            </w:r>
          </w:p>
        </w:tc>
      </w:tr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Fecha de entrega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/>
                <w:color w:val="000000"/>
                <w:sz w:val="20"/>
                <w:szCs w:val="20"/>
              </w:rPr>
              <w:t>9 de octubre de 2026 (corte semana S9)</w:t>
            </w:r>
          </w:p>
        </w:tc>
      </w:tr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Versión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 w:val="false"/>
                <w:color w:val="000000"/>
                <w:sz w:val="20"/>
                <w:szCs w:val="20"/>
              </w:rPr>
              <w:t>1.1</w:t>
            </w:r>
          </w:p>
        </w:tc>
      </w:tr>
    </w:tbl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1. Introducción</w:t>
      </w:r>
    </w:p>
    <w:p>
      <w:pPr>
        <w:spacing w:before="0" w:after="120" w:line="276" w:lineRule="auto"/>
        <w:jc w:val="both"/>
      </w:pPr>
      <w:r>
        <w:rPr>
          <w:rFonts w:ascii="Arial" w:hAnsi="Arial" w:cs="Arial" w:eastAsia="Arial"/>
          <w:sz w:val="22"/>
          <w:szCs w:val="22"/>
        </w:rPr>
        <w:t>Informe de estado del Proyecto Barbería Big-Boys para el período del 11 de septiembre (presentación de avance) al 22 de octubre de 2026 (actualizado para la presentación de avance del 23-10-2026). Semana actual del proyecto: S11 (19-10 al 25-10-2026) de S14.</w:t>
      </w: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2. Resumen Ejecutivo</w:t>
      </w:r>
    </w:p>
    <w:p>
      <w:pPr>
        <w:spacing w:before="0" w:after="120" w:line="276" w:lineRule="auto"/>
        <w:jc w:val="both"/>
      </w:pPr>
      <w:r>
        <w:rPr>
          <w:rFonts w:ascii="Arial" w:hAnsi="Arial" w:cs="Arial" w:eastAsia="Arial"/>
          <w:b/>
          <w:bCs/>
          <w:sz w:val="22"/>
          <w:szCs w:val="22"/>
        </w:rPr>
        <w:t>Estado general: en curso, con riesgo de cronograma controlado.</w:t>
      </w:r>
      <w:r>
        <w:rPr>
          <w:rFonts w:ascii="Arial" w:hAnsi="Arial" w:cs="Arial" w:eastAsia="Arial"/>
          <w:sz w:val="22"/>
          <w:szCs w:val="22"/>
        </w:rPr>
        <w:t xml:space="preserve"> La documentación de diseño se actualizó por completo (arquitectura 4+1, modelo relacional validado, cumplimiento anticipado de la Ley N° 21.719, KPIs y costos). Existen prototipos funcionales de la web y la app (subidos a Drive el 01-10-2026), pero deben migrarse de Cloud Firestore a PostgreSQL porque el modelo y la base de datos deben ser relacionales. El código estuvo en pausa (stand by) hasta el 12-10-2026 (SC-08). El 20-10-2026 la base de datos relacional se implementó en Supabase (26 tablas, 22/22 pruebas, SC-18). Según la copia descargada el 21-10-2026, la web y la app ya se conectan a Supabase, pero aún sobre las tablas del prototipo.</w:t>
      </w: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3. Avance del Alcance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1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Avance del Alcance</w:t>
      </w:r>
    </w:p>
    <w:tbl>
      <w:tblPr>
        <w:tblW w:w="950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3800"/>
        <w:gridCol w:w="1425"/>
        <w:gridCol w:w="4275"/>
      </w:tblGrid>
      <w:tr>
        <w:trPr>
          <w:tblHeader/>
        </w:trPr>
        <w:tc>
          <w:tcPr>
            <w:tcW w:w="38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Entregable</w:t>
            </w:r>
          </w:p>
        </w:tc>
        <w:tc>
          <w:tcPr>
            <w:tcW w:w="142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% de avance</w:t>
            </w:r>
          </w:p>
        </w:tc>
        <w:tc>
          <w:tcPr>
            <w:tcW w:w="427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Observaciones</w:t>
            </w:r>
          </w:p>
        </w:tc>
      </w:tr>
      <w:tr>
        <w:trPr>
          <w:cantSplit/>
        </w:trPr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Documentación de inicio (Acta, Kick-Off, RACI, ERS)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100%</w:t>
            </w:r>
          </w:p>
        </w:tc>
        <w:tc>
          <w:tcPr>
            <w:tcW w:w="42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ERS actualizado a rev. 04.1</w:t>
            </w:r>
          </w:p>
        </w:tc>
      </w:tr>
      <w:tr>
        <w:trPr>
          <w:cantSplit/>
        </w:trPr>
        <w:tc>
          <w:tcPr>
            <w:tcW w:w="38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Planes de gestión (02–15)</w:t>
            </w:r>
          </w:p>
        </w:tc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95%</w:t>
            </w:r>
          </w:p>
        </w:tc>
        <w:tc>
          <w:tcPr>
            <w:tcW w:w="427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Pendiente validación de supuestos con el dueño/a</w:t>
            </w:r>
          </w:p>
        </w:tc>
      </w:tr>
      <w:tr>
        <w:trPr>
          <w:cantSplit/>
        </w:trPr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Arquitectura 4+1 (DAS v3.1) y diagramas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100%</w:t>
            </w:r>
          </w:p>
        </w:tc>
        <w:tc>
          <w:tcPr>
            <w:tcW w:w="42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35 diagramas PlantUML con código fuente</w:t>
            </w:r>
          </w:p>
        </w:tc>
      </w:tr>
      <w:tr>
        <w:trPr>
          <w:cantSplit/>
        </w:trPr>
        <w:tc>
          <w:tcPr>
            <w:tcW w:w="38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Modelo relacional y script DDL</w:t>
            </w:r>
          </w:p>
        </w:tc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100%</w:t>
            </w:r>
          </w:p>
        </w:tc>
        <w:tc>
          <w:tcPr>
            <w:tcW w:w="427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26 tablas; 22/22 pruebas aprobadas (PGlite el 08-10 y Supabase el 20-10-2026)</w:t>
            </w:r>
          </w:p>
        </w:tc>
      </w:tr>
      <w:tr>
        <w:trPr>
          <w:cantSplit/>
        </w:trPr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Cumplimiento Ley N° 21.719 y políticas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90%</w:t>
            </w:r>
          </w:p>
        </w:tc>
        <w:tc>
          <w:tcPr>
            <w:tcW w:w="42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Falta revisión legal externa (opcional)</w:t>
            </w:r>
          </w:p>
        </w:tc>
      </w:tr>
      <w:tr>
        <w:trPr>
          <w:cantSplit/>
        </w:trPr>
        <w:tc>
          <w:tcPr>
            <w:tcW w:w="38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Sitio web</w:t>
            </w:r>
          </w:p>
        </w:tc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55%</w:t>
            </w:r>
          </w:p>
        </w:tc>
        <w:tc>
          <w:tcPr>
            <w:tcW w:w="427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Prototipo conectado a Supabase con las tablas del prototipo; falta migrar al modelo relacional, autenticación y «Mis datos» (% al 09-10-2026)</w:t>
            </w:r>
          </w:p>
        </w:tc>
      </w:tr>
      <w:tr>
        <w:trPr>
          <w:cantSplit/>
        </w:trPr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App Android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50%</w:t>
            </w:r>
          </w:p>
        </w:tc>
        <w:tc>
          <w:tcPr>
            <w:tcW w:w="42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Prototipo conectado a Supabase con las tablas del prototipo; falta migrar al modelo relacional (% al 09-10-2026)</w:t>
            </w:r>
          </w:p>
        </w:tc>
      </w:tr>
      <w:tr>
        <w:trPr>
          <w:cantSplit/>
        </w:trPr>
        <w:tc>
          <w:tcPr>
            <w:tcW w:w="38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API REST + PostgreSQL</w:t>
            </w:r>
          </w:p>
        </w:tc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BD: 100% · API: por confirmar</w:t>
            </w:r>
          </w:p>
        </w:tc>
        <w:tc>
          <w:tcPr>
            <w:tcW w:w="427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Base de datos implementada en Supabase el 20-10-2026; el alojamiento y el avance de la API están pendientes (SC-20)</w:t>
            </w:r>
          </w:p>
        </w:tc>
      </w:tr>
      <w:tr>
        <w:trPr>
          <w:cantSplit/>
        </w:trPr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Pruebas y UAT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Plan: 100%</w:t>
            </w:r>
          </w:p>
        </w:tc>
        <w:tc>
          <w:tcPr>
            <w:tcW w:w="42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Plan y casos de prueba listos (documento 18); 22/22 pruebas de BD ejecutadas; integración y UAT en S12–S14</w:t>
            </w:r>
          </w:p>
        </w:tc>
      </w:tr>
    </w:tbl>
    <w:p>
      <w:pPr>
        <w:spacing w:before="0" w:after="60"/>
      </w:pP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4. Avance del Cronograma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2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Avance del Cronograma</w:t>
      </w:r>
    </w:p>
    <w:tbl>
      <w:tblPr>
        <w:tblW w:w="950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3800"/>
        <w:gridCol w:w="1900"/>
        <w:gridCol w:w="2090"/>
        <w:gridCol w:w="1710"/>
      </w:tblGrid>
      <w:tr>
        <w:trPr>
          <w:tblHeader/>
        </w:trPr>
        <w:tc>
          <w:tcPr>
            <w:tcW w:w="38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Actividad</w:t>
            </w:r>
          </w:p>
        </w:tc>
        <w:tc>
          <w:tcPr>
            <w:tcW w:w="19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Fecha planificada</w:t>
            </w:r>
          </w:p>
        </w:tc>
        <w:tc>
          <w:tcPr>
            <w:tcW w:w="209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Fecha real / estimada</w:t>
            </w:r>
          </w:p>
        </w:tc>
        <w:tc>
          <w:tcPr>
            <w:tcW w:w="171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Estado</w:t>
            </w:r>
          </w:p>
        </w:tc>
      </w:tr>
      <w:tr>
        <w:trPr>
          <w:cantSplit/>
        </w:trPr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H1 Cierre Fase 1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04-09-2026</w:t>
            </w:r>
          </w:p>
        </w:tc>
        <w:tc>
          <w:tcPr>
            <w:tcW w:w="20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04-09-2026</w:t>
            </w:r>
          </w:p>
        </w:tc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Cumplido</w:t>
            </w:r>
          </w:p>
        </w:tc>
      </w:tr>
      <w:tr>
        <w:trPr>
          <w:cantSplit/>
        </w:trPr>
        <w:tc>
          <w:tcPr>
            <w:tcW w:w="38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H2 Avance Fase 2</w:t>
            </w:r>
          </w:p>
        </w:tc>
        <w:tc>
          <w:tcPr>
            <w:tcW w:w="19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11-09-2026</w:t>
            </w:r>
          </w:p>
        </w:tc>
        <w:tc>
          <w:tcPr>
            <w:tcW w:w="20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11-09-2026</w:t>
            </w:r>
          </w:p>
        </w:tc>
        <w:tc>
          <w:tcPr>
            <w:tcW w:w="17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Cumplido</w:t>
            </w:r>
          </w:p>
        </w:tc>
      </w:tr>
      <w:tr>
        <w:trPr>
          <w:cantSplit/>
        </w:trPr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1.3.3 Modelo relacional y script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09-10-2026</w:t>
            </w:r>
          </w:p>
        </w:tc>
        <w:tc>
          <w:tcPr>
            <w:tcW w:w="20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06-10-2026</w:t>
            </w:r>
          </w:p>
        </w:tc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Adelantado</w:t>
            </w:r>
          </w:p>
        </w:tc>
      </w:tr>
      <w:tr>
        <w:trPr>
          <w:cantSplit/>
        </w:trPr>
        <w:tc>
          <w:tcPr>
            <w:tcW w:w="38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H3 Documentación de diseño aprobada</w:t>
            </w:r>
          </w:p>
        </w:tc>
        <w:tc>
          <w:tcPr>
            <w:tcW w:w="19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16-10-2026</w:t>
            </w:r>
          </w:p>
        </w:tc>
        <w:tc>
          <w:tcPr>
            <w:tcW w:w="20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16-10-2026</w:t>
            </w:r>
          </w:p>
        </w:tc>
        <w:tc>
          <w:tcPr>
            <w:tcW w:w="17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Entregada (aprobación del docente por confirmar)</w:t>
            </w:r>
          </w:p>
        </w:tc>
      </w:tr>
      <w:tr>
        <w:trPr>
          <w:cantSplit/>
        </w:trPr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1.4.3 API y migración a PostgreSQL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13-10 al 28-10-2026</w:t>
            </w:r>
          </w:p>
        </w:tc>
        <w:tc>
          <w:tcPr>
            <w:tcW w:w="20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13-10 al 28-10-2026</w:t>
            </w:r>
          </w:p>
        </w:tc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En curso: BD migrada el 20-10-2026; web y app por migrar (ruta crítica)</w:t>
            </w:r>
          </w:p>
        </w:tc>
      </w:tr>
      <w:tr>
        <w:trPr>
          <w:cantSplit/>
        </w:trPr>
        <w:tc>
          <w:tcPr>
            <w:tcW w:w="38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H4 Cierre Fase 2</w:t>
            </w:r>
          </w:p>
        </w:tc>
        <w:tc>
          <w:tcPr>
            <w:tcW w:w="19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18-10-2026</w:t>
            </w:r>
          </w:p>
        </w:tc>
        <w:tc>
          <w:tcPr>
            <w:tcW w:w="20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18-10-2026</w:t>
            </w:r>
          </w:p>
        </w:tc>
        <w:tc>
          <w:tcPr>
            <w:tcW w:w="17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Cumplido (entrega del 18-10-2026)</w:t>
            </w:r>
          </w:p>
        </w:tc>
      </w:tr>
      <w:tr>
        <w:trPr>
          <w:cantSplit/>
        </w:trPr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H5 Presentación de avance del proyecto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23-10-2026</w:t>
            </w:r>
          </w:p>
        </w:tc>
        <w:tc>
          <w:tcPr>
            <w:tcW w:w="20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23-10-2026</w:t>
            </w:r>
          </w:p>
        </w:tc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En preparación</w:t>
            </w:r>
          </w:p>
        </w:tc>
      </w:tr>
      <w:tr>
        <w:trPr>
          <w:cantSplit/>
        </w:trPr>
        <w:tc>
          <w:tcPr>
            <w:tcW w:w="38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H6 Sistema integrado</w:t>
            </w:r>
          </w:p>
        </w:tc>
        <w:tc>
          <w:tcPr>
            <w:tcW w:w="19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30-10-2026</w:t>
            </w:r>
          </w:p>
        </w:tc>
        <w:tc>
          <w:tcPr>
            <w:tcW w:w="20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30-10-2026</w:t>
            </w:r>
          </w:p>
        </w:tc>
        <w:tc>
          <w:tcPr>
            <w:tcW w:w="17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En riesgo</w:t>
            </w:r>
          </w:p>
        </w:tc>
      </w:tr>
    </w:tbl>
    <w:p>
      <w:pPr>
        <w:spacing w:before="0" w:after="60"/>
      </w:pP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5. Avance de Costos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3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Avance de Costos</w:t>
      </w:r>
    </w:p>
    <w:tbl>
      <w:tblPr>
        <w:tblW w:w="950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3800"/>
        <w:gridCol w:w="2850"/>
        <w:gridCol w:w="2850"/>
      </w:tblGrid>
      <w:tr>
        <w:trPr>
          <w:tblHeader/>
        </w:trPr>
        <w:tc>
          <w:tcPr>
            <w:tcW w:w="38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Concepto</w:t>
            </w:r>
          </w:p>
        </w:tc>
        <w:tc>
          <w:tcPr>
            <w:tcW w:w="285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Presupuestado</w:t>
            </w:r>
          </w:p>
        </w:tc>
        <w:tc>
          <w:tcPr>
            <w:tcW w:w="285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Real / ejecutado</w:t>
            </w:r>
          </w:p>
        </w:tc>
      </w:tr>
      <w:tr>
        <w:trPr>
          <w:cantSplit/>
        </w:trPr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Horas valorizadas al 09-10-2026 (PV / AC)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$757.764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$843.318 (estimado)</w:t>
            </w:r>
          </w:p>
        </w:tc>
      </w:tr>
      <w:tr>
        <w:trPr>
          <w:cantSplit/>
        </w:trPr>
        <w:tc>
          <w:tcPr>
            <w:tcW w:w="38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Dominio e infraestructura</w:t>
            </w:r>
          </w:p>
        </w:tc>
        <w:tc>
          <w:tcPr>
            <w:tcW w:w="28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$0 (aún no se contrata)</w:t>
            </w:r>
          </w:p>
        </w:tc>
        <w:tc>
          <w:tcPr>
            <w:tcW w:w="28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$0</w:t>
            </w:r>
          </w:p>
        </w:tc>
      </w:tr>
      <w:tr>
        <w:trPr>
          <w:cantSplit/>
        </w:trPr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Índices (EVM)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CPI objetivo ≥ 0,90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CPI ≈ 0,90 · SPI ≈ 0,95 (estimados)</w:t>
            </w:r>
          </w:p>
        </w:tc>
      </w:tr>
    </w:tbl>
    <w:p>
      <w:pPr>
        <w:spacing w:before="0" w:after="60"/>
      </w:pPr>
    </w:p>
    <w:p>
      <w:pPr>
        <w:pBdr>
          <w:left w:val="single" w:sz="18" w:space="6" w:color="C9A227"/>
        </w:pBdr>
        <w:shd w:val="clear" w:color="auto" w:fill="FFF4D6"/>
        <w:spacing w:before="80" w:after="140" w:line="264" w:lineRule="auto"/>
        <w:ind w:left="120" w:right="120"/>
      </w:pPr>
      <w:r>
        <w:rPr>
          <w:rFonts w:ascii="Arial" w:hAnsi="Arial" w:cs="Arial" w:eastAsia="Arial"/>
          <w:b/>
          <w:bCs/>
          <w:sz w:val="21"/>
          <w:szCs w:val="21"/>
        </w:rPr>
        <w:t xml:space="preserve">SUPUESTO — por validar: </w:t>
      </w:r>
      <w:r>
        <w:rPr>
          <w:rFonts w:ascii="Arial" w:hAnsi="Arial" w:cs="Arial" w:eastAsia="Arial"/>
          <w:sz w:val="21"/>
          <w:szCs w:val="21"/>
        </w:rPr>
        <w:t>Las horas reales no se registraron sistemáticamente antes del 06-10-2026; los valores de AC, CPI y SPI son estimaciones del equipo. Desde la semana 9 se registran en el tablero.</w:t>
      </w: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6. Avance de Recursos</w:t>
      </w:r>
    </w:p>
    <w:p>
      <w:pPr>
        <w:spacing w:before="0" w:after="120" w:line="276" w:lineRule="auto"/>
        <w:jc w:val="both"/>
      </w:pPr>
      <w:r>
        <w:rPr>
          <w:rFonts w:ascii="Arial" w:hAnsi="Arial" w:cs="Arial" w:eastAsia="Arial"/>
          <w:sz w:val="22"/>
          <w:szCs w:val="22"/>
        </w:rPr>
        <w:t>Ambos integrantes participan según lo planificado. La carga se concentra en Jonathan Ojeda durante la migración (1.4.3); Yerko Rosales asume el plan de pruebas y la documentación de cumplimiento para equilibrarla.</w:t>
      </w: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7. Riesgos e Incidencias del Periodo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4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Riesgos e Incidencias del Periodo</w:t>
      </w:r>
    </w:p>
    <w:tbl>
      <w:tblPr>
        <w:tblW w:w="950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3800"/>
        <w:gridCol w:w="4275"/>
        <w:gridCol w:w="1425"/>
      </w:tblGrid>
      <w:tr>
        <w:trPr>
          <w:tblHeader/>
        </w:trPr>
        <w:tc>
          <w:tcPr>
            <w:tcW w:w="38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Riesgo / incidencia</w:t>
            </w:r>
          </w:p>
        </w:tc>
        <w:tc>
          <w:tcPr>
            <w:tcW w:w="427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Acción tomada</w:t>
            </w:r>
          </w:p>
        </w:tc>
        <w:tc>
          <w:tcPr>
            <w:tcW w:w="142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Estado</w:t>
            </w:r>
          </w:p>
        </w:tc>
      </w:tr>
      <w:tr>
        <w:trPr>
          <w:cantSplit/>
        </w:trPr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Requisito confirmado: modelo y BD relacionales (Firestore no cumple)</w:t>
            </w:r>
          </w:p>
        </w:tc>
        <w:tc>
          <w:tcPr>
            <w:tcW w:w="42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Modelo relacional implementado en Supabase el 20-10-2026 (SC-04, SC-18); falta migrar la web y la app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En tratamiento</w:t>
            </w:r>
          </w:p>
        </w:tc>
      </w:tr>
      <w:tr>
        <w:trPr>
          <w:cantSplit/>
        </w:trPr>
        <w:tc>
          <w:tcPr>
            <w:tcW w:w="38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Clave de correo expuesta en el código del prototipo</w:t>
            </w:r>
          </w:p>
        </w:tc>
        <w:tc>
          <w:tcPr>
            <w:tcW w:w="427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Sigue en el código de la web descargado el 21-10-2026: revocarla y mover los secretos a variables de entorno (R-03)</w:t>
            </w:r>
          </w:p>
        </w:tc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Abierto</w:t>
            </w:r>
          </w:p>
        </w:tc>
      </w:tr>
      <w:tr>
        <w:trPr>
          <w:cantSplit/>
        </w:trPr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Doble reserva posible entre web y app (formatos de fecha distintos)</w:t>
            </w:r>
          </w:p>
        </w:tc>
        <w:tc>
          <w:tcPr>
            <w:tcW w:w="42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Restricción de exclusión en PostgreSQL y fecha con tipos DATE/TIME (R-11)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Resuelto en diseño</w:t>
            </w:r>
          </w:p>
        </w:tc>
      </w:tr>
      <w:tr>
        <w:trPr>
          <w:cantSplit/>
        </w:trPr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Tablas del prototipo en Supabase con acceso público (RLS permisivo) mientras la web y la app las usen</w:t>
            </w:r>
          </w:p>
        </w:tc>
        <w:tc>
          <w:tcPr>
            <w:tcW w:w="42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No cargar datos reales; cerrarlas al migrar al modelo relacional con autenticación (R-14)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Abierto</w:t>
            </w:r>
          </w:p>
        </w:tc>
      </w:tr>
      <w:tr>
        <w:trPr>
          <w:cantSplit/>
        </w:trPr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Transferencia internacional de datos (Supabase, EE. UU.)</w:t>
            </w:r>
          </w:p>
        </w:tc>
        <w:tc>
          <w:tcPr>
            <w:tcW w:w="42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Declarada en la Política de Privacidad y el RAT (SC-18, R-09)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Cerrado</w:t>
            </w:r>
          </w:p>
        </w:tc>
      </w:tr>
      <w:tr>
        <w:trPr>
          <w:cantSplit/>
        </w:trPr>
        <w:tc>
          <w:tcPr>
            <w:tcW w:w="38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Inconsistencias entre documentos (sucursales, abono, fechas)</w:t>
            </w:r>
          </w:p>
        </w:tc>
        <w:tc>
          <w:tcPr>
            <w:tcW w:w="427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Actualización integral de documentos (SC-01 a SC-07)</w:t>
            </w:r>
          </w:p>
        </w:tc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Cerrado</w:t>
            </w:r>
          </w:p>
        </w:tc>
      </w:tr>
    </w:tbl>
    <w:p>
      <w:pPr>
        <w:spacing w:before="0" w:after="60"/>
      </w:pP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8. Cambios Aprobados en el Periodo</w:t>
      </w:r>
    </w:p>
    <w:p>
      <w:pPr>
        <w:spacing w:before="0" w:after="120" w:line="276" w:lineRule="auto"/>
        <w:jc w:val="both"/>
      </w:pPr>
      <w:r>
        <w:rPr>
          <w:rFonts w:ascii="Arial" w:hAnsi="Arial" w:cs="Arial" w:eastAsia="Arial"/>
          <w:sz w:val="22"/>
          <w:szCs w:val="22"/>
        </w:rPr>
        <w:t>Ver Documento de Control Integrado de Cambios (11): SC-01 nombre oficial; SC-02 tres sucursales; SC-03 abono de $3.000 parametrizable y reglas de reagendamiento; SC-04 base de datos relacional PostgreSQL; SC-05 cumplimiento anticipado de la Ley N° 21.719; SC-06 atención por orden de llegada digital y KPIs; SC-07 corrección de fechas (entrega 13-11-2026); SC-08 reprogramación del desarrollo por stand by; SC-09 corrección del objetivo en la presentación de Fase 1; SC-10 plantillas completadas y asignatura corregida; SC-11 norma APA 7; SC-12 precios reales; SC-13 atribuciones por rol; SC-14 calendario del proyecto; SC-15 diagramas con nombre descriptivo; SC-16 alta de perfiles; SC-17 presentación de avance y formato; SC-18 base de datos en Supabase; SC-19 fase de despliegue y SC-20 alojamiento de la API (propuestas). Los cambios de alcance y de reglas de negocio siguen pendientes de aprobación formal del patrocinador.</w:t>
      </w: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9. Próximos Pasos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sz w:val="22"/>
          <w:szCs w:val="22"/>
        </w:rPr>
        <w:t>Validar con el/la dueño/a los supuestos S-01 a S-18 y el nombre del patrocinador.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sz w:val="22"/>
          <w:szCs w:val="22"/>
        </w:rPr>
        <w:t>Revocar la clave de correo expuesta y subir el código al repositorio sin secretos.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sz w:val="22"/>
          <w:szCs w:val="22"/>
        </w:rPr>
        <w:t>Migrar la web y la app al modelo relacional en Supabase, cerrar las tablas del prototipo y definir las políticas RLS por rol.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sz w:val="22"/>
          <w:szCs w:val="22"/>
        </w:rPr>
        <w:t>Presentar el avance del proyecto el 23-10-2026 (H5) y decidir el alojamiento de la API (SC-20).</w:t>
      </w:r>
    </w:p>
    <w:p>
      <w:pPr>
        <w:pStyle w:val="Heading1"/>
        <w:keepNext/>
        <w:pageBreakBefore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Referencias</w:t>
      </w:r>
    </w:p>
    <w:p>
      <w:pPr>
        <w:spacing w:before="0" w:after="120" w:line="360" w:lineRule="auto"/>
        <w:ind w:left="720" w:hanging="720"/>
      </w:pPr>
      <w:r>
        <w:rPr>
          <w:rFonts w:ascii="Arial" w:hAnsi="Arial" w:cs="Arial" w:eastAsia="Arial"/>
          <w:sz w:val="22"/>
          <w:szCs w:val="22"/>
        </w:rPr>
        <w:t xml:space="preserve">Project Management Institute [PMI]. (2021). </w:t>
      </w:r>
      <w:r>
        <w:rPr>
          <w:rFonts w:ascii="Arial" w:hAnsi="Arial" w:cs="Arial" w:eastAsia="Arial"/>
          <w:i/>
          <w:iCs/>
          <w:sz w:val="22"/>
          <w:szCs w:val="22"/>
        </w:rPr>
        <w:t>A guide to the project management body of knowledge (PMBOK® guide)</w:t>
      </w:r>
      <w:r>
        <w:rPr>
          <w:rFonts w:ascii="Arial" w:hAnsi="Arial" w:cs="Arial" w:eastAsia="Arial"/>
          <w:sz w:val="22"/>
          <w:szCs w:val="22"/>
        </w:rPr>
        <w:t xml:space="preserve"> (7.ª ed.). Project Management Institute.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sz w:val="18"/>
        <w:szCs w:val="18"/>
      </w:rPr>
      <w:t xml:space="preserve">Página </w:t>
    </w:r>
    <w:r>
      <w:rPr>
        <w:rFonts w:ascii="Arial" w:cs="Arial" w:eastAsia="Arial" w:hAnsi="Arial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888888"/>
        <w:sz w:val="16"/>
        <w:szCs w:val="16"/>
      </w:rPr>
      <w:t xml:space="preserve">Informe de Estado de Avance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Yerko Rosales, Jonathan Ojeda</dc:creator>
  <cp:lastModifiedBy>Un-named</cp:lastModifiedBy>
  <cp:revision>1</cp:revision>
  <dcterms:created xsi:type="dcterms:W3CDTF">2026-08-27T15:54:57.336Z</dcterms:created>
  <dcterms:modified xsi:type="dcterms:W3CDTF">2026-08-27T15:54:57.336Z</dcterms:modified>
  <dc:title>12_Informe_Estado_de_Avance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