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/>
        <w:jc w:val="center"/>
      </w:pPr>
      <w:r>
        <w:rPr>
          <w:b/>
          <w:bCs/>
          <w:color w:val="1F4E5F"/>
          <w:sz w:val="34"/>
          <w:szCs w:val="34"/>
        </w:rPr>
        <w:t>Acta de Constitución del Proyecto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>Proyecto Barbería Big-Boys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>Versión 2.1 · actualizada el 22 de octubre de 2026</w:t>
      </w:r>
    </w:p>
    <w:p>
      <w:pPr>
        <w:pStyle w:val="Ttulo1"/>
        <w:keepNext/>
        <w:spacing w:before="300" w:after="140"/>
      </w:pPr>
      <w:r>
        <w:rPr>
          <w:b/>
          <w:bCs/>
          <w:color w:val="1F4E5F"/>
          <w:sz w:val="26"/>
          <w:szCs w:val="26"/>
        </w:rPr>
        <w:t>Información del proyecto</w:t>
      </w:r>
    </w:p>
    <w:p>
      <w:pPr>
        <w:pStyle w:val="Ttulo2"/>
        <w:keepNext/>
        <w:spacing w:before="220" w:after="100"/>
      </w:pPr>
      <w:r>
        <w:rPr>
          <w:b/>
          <w:bCs/>
          <w:color w:val="2E6B7E"/>
          <w:sz w:val="22"/>
          <w:szCs w:val="22"/>
        </w:rPr>
        <w:t>Datos</w:t>
      </w:r>
    </w:p>
    <w:p>
      <w:pPr>
        <w:keepNext/>
        <w:spacing w:before="160" w:after="0"/>
      </w:pPr>
      <w:r>
        <w:rPr>
          <w:b/>
          <w:bCs/>
          <w:sz w:val="20"/>
          <w:szCs w:val="20"/>
        </w:rPr>
        <w:t>Tabla 1</w:t>
      </w:r>
    </w:p>
    <w:p>
      <w:pPr>
        <w:keepNext/>
        <w:spacing w:before="0" w:after="80"/>
      </w:pPr>
      <w:r>
        <w:rPr>
          <w:i/>
          <w:iCs/>
          <w:sz w:val="20"/>
          <w:szCs w:val="20"/>
        </w:rPr>
        <w:t>Datos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808"/>
        <w:gridCol w:w="6552"/>
      </w:tblGrid>
      <w:tr>
        <w:trPr>
          <w:cantSplit/>
        </w:trPr>
        <w:tc>
          <w:tcPr>
            <w:tcW w:w="2808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Empresa / Organización</w:t>
            </w:r>
          </w:p>
        </w:tc>
        <w:tc>
          <w:tcPr>
            <w:tcW w:w="6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Barbería Big-Boys (3 sucursales; casa matriz: Peñaflor – Sucursal 21 de Mayo)</w:t>
            </w:r>
          </w:p>
        </w:tc>
      </w:tr>
      <w:tr>
        <w:trPr>
          <w:cantSplit/>
        </w:trPr>
        <w:tc>
          <w:tcPr>
            <w:tcW w:w="2808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Proyecto</w:t>
            </w:r>
          </w:p>
        </w:tc>
        <w:tc>
          <w:tcPr>
            <w:tcW w:w="6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Proyecto Barbería Big-Boys — Plataforma web y app móvil de agendamiento, abono de reserva, gestión de atenciones y fidelización, con cumplimiento anticipado de la Ley N° 21.719</w:t>
            </w:r>
          </w:p>
        </w:tc>
      </w:tr>
      <w:tr>
        <w:trPr>
          <w:cantSplit/>
        </w:trPr>
        <w:tc>
          <w:tcPr>
            <w:tcW w:w="2808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Fecha de preparación</w:t>
            </w:r>
          </w:p>
        </w:tc>
        <w:tc>
          <w:tcPr>
            <w:tcW w:w="6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3 de septiembre de 2026 (v1.0) · actualización 6 de octubre de 2026 (v2.0) · 22 de octubre de 2026 (v2.1)</w:t>
            </w:r>
          </w:p>
        </w:tc>
      </w:tr>
      <w:tr>
        <w:trPr>
          <w:cantSplit/>
        </w:trPr>
        <w:tc>
          <w:tcPr>
            <w:tcW w:w="2808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Cliente</w:t>
            </w:r>
          </w:p>
        </w:tc>
        <w:tc>
          <w:tcPr>
            <w:tcW w:w="6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Barbería Big-Boys (dueño/a, administradores de sucursal, barberos y clientes)</w:t>
            </w:r>
          </w:p>
        </w:tc>
      </w:tr>
      <w:tr>
        <w:trPr>
          <w:cantSplit/>
        </w:trPr>
        <w:tc>
          <w:tcPr>
            <w:tcW w:w="2808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Patrocinador principal</w:t>
            </w:r>
          </w:p>
        </w:tc>
        <w:tc>
          <w:tcPr>
            <w:tcW w:w="6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Dueño/a de Barbería Big-Boys [nombre por validar]</w:t>
            </w:r>
          </w:p>
        </w:tc>
      </w:tr>
      <w:tr>
        <w:trPr>
          <w:cantSplit/>
        </w:trPr>
        <w:tc>
          <w:tcPr>
            <w:tcW w:w="2808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Gerente de proyecto</w:t>
            </w:r>
          </w:p>
        </w:tc>
        <w:tc>
          <w:tcPr>
            <w:tcW w:w="6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Yerko Rosales</w:t>
            </w:r>
          </w:p>
        </w:tc>
      </w:tr>
    </w:tbl>
    <w:p>
      <w:pPr>
        <w:spacing w:before="0" w:after="60"/>
      </w:pPr>
    </w:p>
    <w:p>
      <w:pPr>
        <w:pStyle w:val="Ttulo1"/>
        <w:keepNext/>
        <w:spacing w:before="300" w:after="140"/>
      </w:pPr>
      <w:r>
        <w:rPr>
          <w:b/>
          <w:bCs/>
          <w:color w:val="1F4E5F"/>
          <w:sz w:val="26"/>
          <w:szCs w:val="26"/>
        </w:rPr>
        <w:t>Propósito y justificación del proyecto</w:t>
      </w:r>
    </w:p>
    <w:p>
      <w:pPr>
        <w:spacing w:before="0" w:after="120" w:line="276" w:lineRule="auto"/>
      </w:pPr>
      <w:r>
        <w:rPr>
          <w:sz w:val="21"/>
          <w:szCs w:val="21"/>
        </w:rPr>
        <w:t xml:space="preserve">Barbería Big-Boys atiende por orden de llegada en tres sucursales y registra cada atención manualmente en una planilla Excel. En los días de mayor demanda (peak) se atienden cerca de 130 clientes y </w:t>
      </w:r>
      <w:r>
        <w:rPr>
          <w:b/>
          <w:bCs/>
          <w:sz w:val="21"/>
          <w:szCs w:val="21"/>
        </w:rPr>
        <w:t>26 se van sin ser atendidos</w:t>
      </w:r>
      <w:r>
        <w:rPr>
          <w:sz w:val="21"/>
          <w:szCs w:val="21"/>
        </w:rPr>
        <w:t xml:space="preserve"> (16,7% de la demanda), lo que se traduce en aproximadamente </w:t>
      </w:r>
      <w:r>
        <w:rPr>
          <w:b/>
          <w:bCs/>
          <w:sz w:val="21"/>
          <w:szCs w:val="21"/>
        </w:rPr>
        <w:t>4.326 clientes y $51.484.160 de ingresos perdidos al año</w:t>
      </w:r>
      <w:r>
        <w:rPr>
          <w:sz w:val="21"/>
          <w:szCs w:val="21"/>
        </w:rPr>
        <w:t xml:space="preserve"> (valorizados con el precio del corte, $11.900; rango de sensibilidad en el Plan de Costos).</w:t>
      </w:r>
    </w:p>
    <w:p>
      <w:pPr>
        <w:keepNext/>
        <w:spacing w:before="160" w:after="0"/>
      </w:pPr>
      <w:r>
        <w:rPr>
          <w:b/>
          <w:bCs/>
          <w:sz w:val="20"/>
          <w:szCs w:val="20"/>
        </w:rPr>
        <w:t>Tabla 2</w:t>
      </w:r>
    </w:p>
    <w:p>
      <w:pPr>
        <w:keepNext/>
        <w:spacing w:before="0" w:after="80"/>
      </w:pPr>
      <w:r>
        <w:rPr>
          <w:i/>
          <w:iCs/>
          <w:sz w:val="20"/>
          <w:szCs w:val="20"/>
        </w:rPr>
        <w:t>Propósito y justificación del proyecto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808"/>
        <w:gridCol w:w="2808"/>
        <w:gridCol w:w="1310"/>
        <w:gridCol w:w="1310"/>
        <w:gridCol w:w="1124"/>
      </w:tblGrid>
      <w:tr>
        <w:trPr>
          <w:tblHeader/>
        </w:trPr>
        <w:tc>
          <w:tcPr>
            <w:tcW w:w="2808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Sucursal</w:t>
            </w:r>
          </w:p>
        </w:tc>
        <w:tc>
          <w:tcPr>
            <w:tcW w:w="2808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Dirección</w:t>
            </w:r>
          </w:p>
        </w:tc>
        <w:tc>
          <w:tcPr>
            <w:tcW w:w="1310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Atendidos / día peak</w:t>
            </w:r>
          </w:p>
        </w:tc>
        <w:tc>
          <w:tcPr>
            <w:tcW w:w="1310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Se van / día peak</w:t>
            </w:r>
          </w:p>
        </w:tc>
        <w:tc>
          <w:tcPr>
            <w:tcW w:w="1124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% pérdida</w:t>
            </w:r>
          </w:p>
        </w:tc>
      </w:tr>
      <w:tr>
        <w:trPr>
          <w:cantSplit/>
        </w:trPr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Peñaflor – Sucursal 21 de Mayo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21 de Mayo 4566, Peñaflor</w:t>
            </w:r>
          </w:p>
        </w:tc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70</w:t>
            </w:r>
          </w:p>
        </w:tc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1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14,6%</w:t>
            </w:r>
          </w:p>
        </w:tc>
      </w:tr>
      <w:tr>
        <w:trPr>
          <w:cantSplit/>
        </w:trPr>
        <w:tc>
          <w:tcPr>
            <w:tcW w:w="2808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Peñaflor – Sucursal Alcalde Luis Araya Cereceda</w:t>
            </w:r>
          </w:p>
        </w:tc>
        <w:tc>
          <w:tcPr>
            <w:tcW w:w="2808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Alcalde Luis Araya Cereceda 4387, Peñaflor</w:t>
            </w:r>
          </w:p>
        </w:tc>
        <w:tc>
          <w:tcPr>
            <w:tcW w:w="1310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1310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124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18,9%</w:t>
            </w:r>
          </w:p>
        </w:tc>
      </w:tr>
      <w:tr>
        <w:trPr>
          <w:cantSplit/>
        </w:trPr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Talagante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Boulevard del Centro, local 3, Talagante</w:t>
            </w:r>
          </w:p>
        </w:tc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1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18,9%</w:t>
            </w:r>
          </w:p>
        </w:tc>
      </w:tr>
      <w:tr>
        <w:trPr>
          <w:cantSplit/>
        </w:trPr>
        <w:tc>
          <w:tcPr>
            <w:tcW w:w="2808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Total</w:t>
            </w:r>
          </w:p>
        </w:tc>
        <w:tc>
          <w:tcPr>
            <w:tcW w:w="2808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310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130</w:t>
            </w:r>
          </w:p>
        </w:tc>
        <w:tc>
          <w:tcPr>
            <w:tcW w:w="1310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1124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16,7%</w:t>
            </w:r>
          </w:p>
        </w:tc>
      </w:tr>
    </w:tbl>
    <w:p>
      <w:pPr>
        <w:spacing w:before="0" w:after="60"/>
      </w:pPr>
    </w:p>
    <w:p>
      <w:pPr>
        <w:spacing w:before="0" w:after="120" w:line="276" w:lineRule="auto"/>
      </w:pPr>
      <w:r>
        <w:rPr>
          <w:sz w:val="21"/>
          <w:szCs w:val="21"/>
        </w:rPr>
        <w:t xml:space="preserve">El proyecto </w:t>
      </w:r>
      <w:r>
        <w:rPr>
          <w:b/>
          <w:bCs/>
          <w:sz w:val="21"/>
          <w:szCs w:val="21"/>
        </w:rPr>
        <w:t>complementa</w:t>
      </w:r>
      <w:r>
        <w:rPr>
          <w:sz w:val="21"/>
          <w:szCs w:val="21"/>
        </w:rPr>
        <w:t xml:space="preserve"> la atención por orden de llegada con reservas aseguradas por un abono, </w:t>
      </w:r>
      <w:r>
        <w:rPr>
          <w:b/>
          <w:bCs/>
          <w:sz w:val="21"/>
          <w:szCs w:val="21"/>
        </w:rPr>
        <w:t>reemplaza por completo</w:t>
      </w:r>
      <w:r>
        <w:rPr>
          <w:sz w:val="21"/>
          <w:szCs w:val="21"/>
        </w:rPr>
        <w:t xml:space="preserve"> el registro manual en Excel y centraliza la información del negocio en una base de datos relacional.</w:t>
      </w:r>
    </w:p>
    <w:p>
      <w:pPr>
        <w:pStyle w:val="Ttulo1"/>
        <w:keepNext/>
        <w:spacing w:before="300" w:after="140"/>
      </w:pPr>
      <w:r>
        <w:rPr>
          <w:b/>
          <w:bCs/>
          <w:color w:val="1F4E5F"/>
          <w:sz w:val="26"/>
          <w:szCs w:val="26"/>
        </w:rPr>
        <w:t>Descripción del proyecto y entregables</w:t>
      </w:r>
    </w:p>
    <w:p>
      <w:pPr>
        <w:spacing w:before="0" w:after="120" w:line="276" w:lineRule="auto"/>
      </w:pPr>
      <w:r>
        <w:rPr>
          <w:sz w:val="21"/>
          <w:szCs w:val="21"/>
        </w:rPr>
        <w:t>Se diseñará e implementará una plataforma web y una app móvil Android conectadas a una API y a una base de datos PostgreSQL, con perfiles para cliente registrado, invitado, barbero, administrador de sucursal y dueño/administrador general. El sistema se pondrá en uso real una vez aprobado el proyecto.</w:t>
      </w:r>
    </w:p>
    <w:p>
      <w:pPr>
        <w:spacing w:before="0" w:after="120" w:line="276" w:lineRule="auto"/>
      </w:pPr>
      <w:r>
        <w:rPr>
          <w:sz w:val="21"/>
          <w:szCs w:val="21"/>
        </w:rPr>
        <w:t>Entregables principales: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sz w:val="21"/>
          <w:szCs w:val="21"/>
        </w:rPr>
        <w:t>Sitio web y app móvil con registro, inicio de sesión, perfil e historial del cliente.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sz w:val="21"/>
          <w:szCs w:val="21"/>
        </w:rPr>
        <w:t xml:space="preserve">Agendamiento del servicio habitual o nuevo, con </w:t>
      </w:r>
      <w:r>
        <w:rPr>
          <w:b/>
          <w:bCs/>
          <w:sz w:val="21"/>
          <w:szCs w:val="21"/>
        </w:rPr>
        <w:t>abono de reserva de $3.000 CLP</w:t>
      </w:r>
      <w:r>
        <w:rPr>
          <w:sz w:val="21"/>
          <w:szCs w:val="21"/>
        </w:rPr>
        <w:t xml:space="preserve"> (fijo, parametrizable por sucursal y/o servicio, descontado del servicio).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sz w:val="21"/>
          <w:szCs w:val="21"/>
        </w:rPr>
        <w:t>Ingreso como invitado con pop-up promocional que incentiva crear perfil.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sz w:val="21"/>
          <w:szCs w:val="21"/>
        </w:rPr>
        <w:t>Fila digital por orden de llegada y registro digital de atenciones y montos (reemplazo del Excel).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sz w:val="21"/>
          <w:szCs w:val="21"/>
        </w:rPr>
        <w:t>Panel del administrador de sucursal y del dueño con KPIs por sucursal, subtotal Peñaflor y consolidado.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sz w:val="21"/>
          <w:szCs w:val="21"/>
        </w:rPr>
        <w:t>Módulo «Mis datos», consentimientos, auditoría y políticas de privacidad: cumplimiento anticipado de la Ley N° 21.719.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sz w:val="21"/>
          <w:szCs w:val="21"/>
        </w:rPr>
        <w:t>Base de datos relacional con modelo entidad-relación, diccionario de datos y script DDL.</w:t>
      </w:r>
    </w:p>
    <w:p>
      <w:pPr>
        <w:pStyle w:val="Ttulo1"/>
        <w:keepNext/>
        <w:spacing w:before="300" w:after="140"/>
      </w:pPr>
      <w:r>
        <w:rPr>
          <w:b/>
          <w:bCs/>
          <w:color w:val="1F4E5F"/>
          <w:sz w:val="26"/>
          <w:szCs w:val="26"/>
        </w:rPr>
        <w:t>Objetivos</w:t>
      </w:r>
    </w:p>
    <w:p>
      <w:pPr>
        <w:spacing w:before="0" w:after="120" w:line="276" w:lineRule="auto"/>
      </w:pPr>
      <w:r>
        <w:rPr>
          <w:b/>
          <w:bCs/>
          <w:sz w:val="21"/>
          <w:szCs w:val="21"/>
        </w:rPr>
        <w:t>Objetivo general:</w:t>
      </w:r>
      <w:r>
        <w:rPr>
          <w:sz w:val="21"/>
          <w:szCs w:val="21"/>
        </w:rPr>
        <w:t xml:space="preserve"> Diseñar e implementar una plataforma web y app móvil que complemente la atención por orden de llegada y reemplace el registro manual en Excel en las tres sucursales de Barbería Big-Boys, incorporando perfiles para clientes, colaboradores y administradores, y cumpliendo desde su lanzamiento la normativa de protección de datos personales.</w:t>
      </w:r>
    </w:p>
    <w:p>
      <w:pPr>
        <w:spacing w:before="0" w:after="120" w:line="276" w:lineRule="auto"/>
      </w:pPr>
      <w:r>
        <w:rPr>
          <w:b/>
          <w:bCs/>
          <w:sz w:val="21"/>
          <w:szCs w:val="21"/>
        </w:rPr>
        <w:t>Objetivos específicos:</w:t>
      </w:r>
    </w:p>
    <w:p>
      <w:pPr>
        <w:spacing w:before="0" w:after="60" w:line="264" w:lineRule="auto"/>
        <w:ind w:left="426" w:hanging="284"/>
      </w:pPr>
      <w:r>
        <w:rPr>
          <w:sz w:val="21"/>
          <w:szCs w:val="21"/>
        </w:rPr>
        <w:t>1. Permitir a cada cliente crear su perfil y agendar su servicio habitual o solicitar uno nuevo.</w:t>
      </w:r>
    </w:p>
    <w:p>
      <w:pPr>
        <w:spacing w:before="0" w:after="60" w:line="264" w:lineRule="auto"/>
        <w:ind w:left="426" w:hanging="284"/>
      </w:pPr>
      <w:r>
        <w:rPr>
          <w:sz w:val="21"/>
          <w:szCs w:val="21"/>
        </w:rPr>
        <w:t>2. Implementar el abono de reserva de $3.000 que asegura la asistencia y el cupo reservado.</w:t>
      </w:r>
    </w:p>
    <w:p>
      <w:pPr>
        <w:spacing w:before="0" w:after="60" w:line="264" w:lineRule="auto"/>
        <w:ind w:left="426" w:hanging="284"/>
      </w:pPr>
      <w:r>
        <w:rPr>
          <w:sz w:val="21"/>
          <w:szCs w:val="21"/>
        </w:rPr>
        <w:t>3. Habilitar el ingreso como invitado, con un pop-up promocional que incentive el registro.</w:t>
      </w:r>
    </w:p>
    <w:p>
      <w:pPr>
        <w:spacing w:before="0" w:after="60" w:line="264" w:lineRule="auto"/>
        <w:ind w:left="426" w:hanging="284"/>
      </w:pPr>
      <w:r>
        <w:rPr>
          <w:sz w:val="21"/>
          <w:szCs w:val="21"/>
        </w:rPr>
        <w:t>4. Incorporar perfiles para colaboradores y administradores, reemplazando el registro manual en Excel de atenciones y montos.</w:t>
      </w:r>
    </w:p>
    <w:p>
      <w:pPr>
        <w:spacing w:before="0" w:after="60" w:line="264" w:lineRule="auto"/>
        <w:ind w:left="426" w:hanging="284"/>
      </w:pPr>
      <w:r>
        <w:rPr>
          <w:sz w:val="21"/>
          <w:szCs w:val="21"/>
        </w:rPr>
        <w:t>5. Implementar de forma anticipada los requisitos de la Ley N° 21.719 y un modelo de gobierno de datos.</w:t>
      </w:r>
    </w:p>
    <w:p>
      <w:pPr>
        <w:keepNext/>
        <w:spacing w:before="160" w:after="0"/>
      </w:pPr>
      <w:r>
        <w:rPr>
          <w:b/>
          <w:bCs/>
          <w:sz w:val="20"/>
          <w:szCs w:val="20"/>
        </w:rPr>
        <w:t>Tabla 3</w:t>
      </w:r>
    </w:p>
    <w:p>
      <w:pPr>
        <w:keepNext/>
        <w:spacing w:before="0" w:after="80"/>
      </w:pPr>
      <w:r>
        <w:rPr>
          <w:i/>
          <w:iCs/>
          <w:sz w:val="20"/>
          <w:szCs w:val="20"/>
        </w:rPr>
        <w:t>Objetivos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340"/>
        <w:gridCol w:w="7020"/>
      </w:tblGrid>
      <w:tr>
        <w:trPr>
          <w:tblHeader/>
        </w:trPr>
        <w:tc>
          <w:tcPr>
            <w:tcW w:w="2340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Objetivo</w:t>
            </w:r>
          </w:p>
        </w:tc>
        <w:tc>
          <w:tcPr>
            <w:tcW w:w="7020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Indicador de éxito</w:t>
            </w:r>
          </w:p>
        </w:tc>
      </w:tr>
      <w:tr>
        <w:trPr>
          <w:cantSplit/>
        </w:trPr>
        <w:tc>
          <w:tcPr>
            <w:tcW w:w="23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Alcance</w:t>
            </w:r>
          </w:p>
        </w:tc>
        <w:tc>
          <w:tcPr>
            <w:tcW w:w="70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Web y app con los RF de prioridad Muy alta/Alta de la V1 aprobados en UAT.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Cronograma (Tiempo)</w:t>
            </w:r>
          </w:p>
        </w:tc>
        <w:tc>
          <w:tcPr>
            <w:tcW w:w="7020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Hitos de cada fase cumplidos; entrega final el 13-11-2026 y defensa probable el 27-11-2026.</w:t>
            </w:r>
          </w:p>
        </w:tc>
      </w:tr>
      <w:tr>
        <w:trPr>
          <w:cantSplit/>
        </w:trPr>
        <w:tc>
          <w:tcPr>
            <w:tcW w:w="23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Costo</w:t>
            </w:r>
          </w:p>
        </w:tc>
        <w:tc>
          <w:tcPr>
            <w:tcW w:w="70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Ejecución dentro de la línea base valorizada ($2.108.284).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Calidad</w:t>
            </w:r>
          </w:p>
        </w:tc>
        <w:tc>
          <w:tcPr>
            <w:tcW w:w="7020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0 defectos críticos abiertos; 0 secretos en el código; 0 datos de tarjeta almacenados.</w:t>
            </w:r>
          </w:p>
        </w:tc>
      </w:tr>
      <w:tr>
        <w:trPr>
          <w:cantSplit/>
        </w:trPr>
        <w:tc>
          <w:tcPr>
            <w:tcW w:w="23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Negocio</w:t>
            </w:r>
          </w:p>
        </w:tc>
        <w:tc>
          <w:tcPr>
            <w:tcW w:w="70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Abandono en día peak ≤ 8% (hoy 16,7%) y no-show ≤ 5% al sexto mes de operación.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Otros</w:t>
            </w:r>
          </w:p>
        </w:tc>
        <w:tc>
          <w:tcPr>
            <w:tcW w:w="7020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100% del registro de atenciones en el sistema (0% en Excel) y 100% de solicitudes de derechos respondidas en ≤ 30 días.</w:t>
            </w:r>
          </w:p>
        </w:tc>
      </w:tr>
    </w:tbl>
    <w:p>
      <w:pPr>
        <w:spacing w:before="0" w:after="60"/>
      </w:pPr>
    </w:p>
    <w:p>
      <w:pPr>
        <w:pStyle w:val="Ttulo1"/>
        <w:keepNext/>
        <w:spacing w:before="300" w:after="140"/>
      </w:pPr>
      <w:r>
        <w:rPr>
          <w:b/>
          <w:bCs/>
          <w:color w:val="1F4E5F"/>
          <w:sz w:val="26"/>
          <w:szCs w:val="26"/>
        </w:rPr>
        <w:t>Beneficios esperados y diferenciador</w:t>
      </w:r>
    </w:p>
    <w:p>
      <w:pPr>
        <w:keepNext/>
        <w:spacing w:before="160" w:after="0"/>
      </w:pPr>
      <w:r>
        <w:rPr>
          <w:b/>
          <w:bCs/>
          <w:sz w:val="20"/>
          <w:szCs w:val="20"/>
        </w:rPr>
        <w:t>Tabla 4</w:t>
      </w:r>
    </w:p>
    <w:p>
      <w:pPr>
        <w:keepNext/>
        <w:spacing w:before="0" w:after="80"/>
      </w:pPr>
      <w:r>
        <w:rPr>
          <w:i/>
          <w:iCs/>
          <w:sz w:val="20"/>
          <w:szCs w:val="20"/>
        </w:rPr>
        <w:t>Beneficios esperados y diferenciador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3744"/>
        <w:gridCol w:w="5616"/>
      </w:tblGrid>
      <w:tr>
        <w:trPr>
          <w:tblHeader/>
        </w:trPr>
        <w:tc>
          <w:tcPr>
            <w:tcW w:w="3744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Beneficio</w:t>
            </w:r>
          </w:p>
        </w:tc>
        <w:tc>
          <w:tcPr>
            <w:tcW w:w="5616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Cuantificación</w:t>
            </w:r>
          </w:p>
        </w:tc>
      </w:tr>
      <w:tr>
        <w:trPr>
          <w:cantSplit/>
        </w:trPr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Clientes recuperados (escenario medio, 50%)</w:t>
            </w:r>
          </w:p>
        </w:tc>
        <w:tc>
          <w:tcPr>
            <w:tcW w:w="56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2.163 clientes/año</w:t>
            </w:r>
          </w:p>
        </w:tc>
      </w:tr>
      <w:tr>
        <w:trPr>
          <w:cantSplit/>
        </w:trPr>
        <w:tc>
          <w:tcPr>
            <w:tcW w:w="3744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Ingreso adicional (escenario medio)</w:t>
            </w:r>
          </w:p>
        </w:tc>
        <w:tc>
          <w:tcPr>
            <w:tcW w:w="5616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$25.742.080/año (rango $15.445.248 – $36.038.912)</w:t>
            </w:r>
          </w:p>
        </w:tc>
      </w:tr>
      <w:tr>
        <w:trPr>
          <w:cantSplit/>
        </w:trPr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ROI del primer año (conservador / medio / optimista)</w:t>
            </w:r>
          </w:p>
        </w:tc>
        <w:tc>
          <w:tcPr>
            <w:tcW w:w="56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298% / 567% / 836%</w:t>
            </w:r>
          </w:p>
        </w:tc>
      </w:tr>
      <w:tr>
        <w:trPr>
          <w:cantSplit/>
        </w:trPr>
        <w:tc>
          <w:tcPr>
            <w:tcW w:w="3744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Período de recuperación</w:t>
            </w:r>
          </w:p>
        </w:tc>
        <w:tc>
          <w:tcPr>
            <w:tcW w:w="5616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3,0 meses / 1,8 meses / 1,3 meses</w:t>
            </w:r>
          </w:p>
        </w:tc>
      </w:tr>
      <w:tr>
        <w:trPr>
          <w:cantSplit/>
        </w:trPr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Reducción de inasistencias</w:t>
            </w:r>
          </w:p>
        </w:tc>
        <w:tc>
          <w:tcPr>
            <w:tcW w:w="56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No-show esperado ≤ 5% gracias al abono</w:t>
            </w:r>
          </w:p>
        </w:tc>
      </w:tr>
      <w:tr>
        <w:trPr>
          <w:cantSplit/>
        </w:trPr>
        <w:tc>
          <w:tcPr>
            <w:tcW w:w="3744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Cumplimiento anticipado de la Ley N° 21.719 (Ley N° 21.719, 2024)</w:t>
            </w:r>
          </w:p>
        </w:tc>
        <w:tc>
          <w:tcPr>
            <w:tcW w:w="5616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Riesgo evitado de multas de hasta $721.510.000 (grave) y $1.443.020.000 (gravísima), con la UTM de octubre de 2026 (SII, 2026a); sin adecuaciones ni costos futuros</w:t>
            </w:r>
          </w:p>
        </w:tc>
      </w:tr>
      <w:tr>
        <w:trPr>
          <w:cantSplit/>
        </w:trPr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Confianza del cliente y reputación</w:t>
            </w:r>
          </w:p>
        </w:tc>
        <w:tc>
          <w:tcPr>
            <w:tcW w:w="56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La barbería opera conforme a la nueva normativa antes de que sea exigible: «tus datos protegidos desde el primer día»</w:t>
            </w:r>
          </w:p>
        </w:tc>
      </w:tr>
    </w:tbl>
    <w:p>
      <w:pPr>
        <w:spacing w:before="0" w:after="60"/>
      </w:pPr>
    </w:p>
    <w:p>
      <w:pPr>
        <w:pStyle w:val="Ttulo1"/>
        <w:keepNext/>
        <w:spacing w:before="300" w:after="140"/>
      </w:pPr>
      <w:r>
        <w:rPr>
          <w:b/>
          <w:bCs/>
          <w:color w:val="1F4E5F"/>
          <w:sz w:val="26"/>
          <w:szCs w:val="26"/>
        </w:rPr>
        <w:t>Riesgos iniciales de alto nivel</w:t>
      </w:r>
    </w:p>
    <w:p>
      <w:pPr>
        <w:keepNext/>
        <w:spacing w:before="160" w:after="0"/>
      </w:pPr>
      <w:r>
        <w:rPr>
          <w:b/>
          <w:bCs/>
          <w:sz w:val="20"/>
          <w:szCs w:val="20"/>
        </w:rPr>
        <w:t>Tabla 5</w:t>
      </w:r>
    </w:p>
    <w:p>
      <w:pPr>
        <w:keepNext/>
        <w:spacing w:before="0" w:after="80"/>
      </w:pPr>
      <w:r>
        <w:rPr>
          <w:i/>
          <w:iCs/>
          <w:sz w:val="20"/>
          <w:szCs w:val="20"/>
        </w:rPr>
        <w:t>Riesgos iniciales de alto nivel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3744"/>
        <w:gridCol w:w="5616"/>
      </w:tblGrid>
      <w:tr>
        <w:trPr>
          <w:tblHeader/>
        </w:trPr>
        <w:tc>
          <w:tcPr>
            <w:tcW w:w="3744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Riesgo</w:t>
            </w:r>
          </w:p>
        </w:tc>
        <w:tc>
          <w:tcPr>
            <w:tcW w:w="5616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Mitigación</w:t>
            </w:r>
          </w:p>
        </w:tc>
      </w:tr>
      <w:tr>
        <w:trPr>
          <w:cantSplit/>
        </w:trPr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Baja adopción por parte de los clientes</w:t>
            </w:r>
          </w:p>
        </w:tc>
        <w:tc>
          <w:tcPr>
            <w:tcW w:w="56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Registro simple, pop-up con beneficio y reserva en menos de 60 segundos.</w:t>
            </w:r>
          </w:p>
        </w:tc>
      </w:tr>
      <w:tr>
        <w:trPr>
          <w:cantSplit/>
        </w:trPr>
        <w:tc>
          <w:tcPr>
            <w:tcW w:w="3744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Fallas en el módulo de pago del abono</w:t>
            </w:r>
          </w:p>
        </w:tc>
        <w:tc>
          <w:tcPr>
            <w:tcW w:w="5616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Integración en ambiente de pruebas de Transbank y alternativa Mercado Pago.</w:t>
            </w:r>
          </w:p>
        </w:tc>
      </w:tr>
      <w:tr>
        <w:trPr>
          <w:cantSplit/>
        </w:trPr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Atrasos por la migración a base de datos relacional</w:t>
            </w:r>
          </w:p>
        </w:tc>
        <w:tc>
          <w:tcPr>
            <w:tcW w:w="56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Ruta crítica controlada con punto de revisión el 23-10-2026 y reserva de contingencia.</w:t>
            </w:r>
          </w:p>
        </w:tc>
      </w:tr>
      <w:tr>
        <w:trPr>
          <w:cantSplit/>
        </w:trPr>
        <w:tc>
          <w:tcPr>
            <w:tcW w:w="3744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Resistencia del personal a usar el sistema</w:t>
            </w:r>
          </w:p>
        </w:tc>
        <w:tc>
          <w:tcPr>
            <w:tcW w:w="5616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Capacitación breve y registro de atención en pocos pasos.</w:t>
            </w:r>
          </w:p>
        </w:tc>
      </w:tr>
      <w:tr>
        <w:trPr>
          <w:cantSplit/>
        </w:trPr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Sanciones por incumplimiento de protección de datos</w:t>
            </w:r>
          </w:p>
        </w:tc>
        <w:tc>
          <w:tcPr>
            <w:tcW w:w="56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Cumplimiento anticipado de la Ley N° 21.719 desde el diseño.</w:t>
            </w:r>
          </w:p>
        </w:tc>
      </w:tr>
    </w:tbl>
    <w:p>
      <w:pPr>
        <w:spacing w:before="0" w:after="60"/>
      </w:pPr>
    </w:p>
    <w:p>
      <w:pPr>
        <w:pStyle w:val="Ttulo1"/>
        <w:keepNext/>
        <w:spacing w:before="300" w:after="140"/>
      </w:pPr>
      <w:r>
        <w:rPr>
          <w:b/>
          <w:bCs/>
          <w:color w:val="1F4E5F"/>
          <w:sz w:val="26"/>
          <w:szCs w:val="26"/>
        </w:rPr>
        <w:t>Cronograma de hitos principales</w:t>
      </w:r>
    </w:p>
    <w:p>
      <w:pPr>
        <w:keepNext/>
        <w:spacing w:before="160" w:after="0"/>
      </w:pPr>
      <w:r>
        <w:rPr>
          <w:b/>
          <w:bCs/>
          <w:sz w:val="20"/>
          <w:szCs w:val="20"/>
        </w:rPr>
        <w:t>Tabla 6</w:t>
      </w:r>
    </w:p>
    <w:p>
      <w:pPr>
        <w:keepNext/>
        <w:spacing w:before="0" w:after="80"/>
      </w:pPr>
      <w:r>
        <w:rPr>
          <w:i/>
          <w:iCs/>
          <w:sz w:val="20"/>
          <w:szCs w:val="20"/>
        </w:rPr>
        <w:t>Cronograma de hitos principales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6552"/>
        <w:gridCol w:w="2808"/>
      </w:tblGrid>
      <w:tr>
        <w:trPr>
          <w:tblHeader/>
        </w:trPr>
        <w:tc>
          <w:tcPr>
            <w:tcW w:w="6552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Hito</w:t>
            </w:r>
          </w:p>
        </w:tc>
        <w:tc>
          <w:tcPr>
            <w:tcW w:w="2808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Fecha tope</w:t>
            </w:r>
          </w:p>
        </w:tc>
      </w:tr>
      <w:tr>
        <w:trPr>
          <w:cantSplit/>
        </w:trPr>
        <w:tc>
          <w:tcPr>
            <w:tcW w:w="6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H1 Cierre Fase 1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04-09-2026</w:t>
            </w:r>
          </w:p>
        </w:tc>
      </w:tr>
      <w:tr>
        <w:trPr>
          <w:cantSplit/>
        </w:trPr>
        <w:tc>
          <w:tcPr>
            <w:tcW w:w="6552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H2 Avance Fase 2</w:t>
            </w:r>
          </w:p>
        </w:tc>
        <w:tc>
          <w:tcPr>
            <w:tcW w:w="2808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11-09-2026</w:t>
            </w:r>
          </w:p>
        </w:tc>
      </w:tr>
      <w:tr>
        <w:trPr>
          <w:cantSplit/>
        </w:trPr>
        <w:tc>
          <w:tcPr>
            <w:tcW w:w="6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H3 Documentación de diseño aprobada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16-10-2026</w:t>
            </w:r>
          </w:p>
        </w:tc>
      </w:tr>
      <w:tr>
        <w:trPr>
          <w:cantSplit/>
        </w:trPr>
        <w:tc>
          <w:tcPr>
            <w:tcW w:w="6552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H4 Cierre Fase 2</w:t>
            </w:r>
          </w:p>
        </w:tc>
        <w:tc>
          <w:tcPr>
            <w:tcW w:w="2808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18-10-2026</w:t>
            </w:r>
          </w:p>
        </w:tc>
      </w:tr>
      <w:tr>
        <w:trPr>
          <w:cantSplit/>
        </w:trPr>
        <w:tc>
          <w:tcPr>
            <w:tcW w:w="6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H5 Presentación de avance del proyecto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23-10-2026</w:t>
            </w:r>
          </w:p>
        </w:tc>
      </w:tr>
      <w:tr>
        <w:trPr>
          <w:cantSplit/>
        </w:trPr>
        <w:tc>
          <w:tcPr>
            <w:tcW w:w="6552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H6 Sistema integrado</w:t>
            </w:r>
          </w:p>
        </w:tc>
        <w:tc>
          <w:tcPr>
            <w:tcW w:w="2808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30-10-2026</w:t>
            </w:r>
          </w:p>
        </w:tc>
      </w:tr>
      <w:tr>
        <w:trPr>
          <w:cantSplit/>
        </w:trPr>
        <w:tc>
          <w:tcPr>
            <w:tcW w:w="6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H7 UAT aprobada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10-11-2026</w:t>
            </w:r>
          </w:p>
        </w:tc>
      </w:tr>
      <w:tr>
        <w:trPr>
          <w:cantSplit/>
        </w:trPr>
        <w:tc>
          <w:tcPr>
            <w:tcW w:w="6552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H8 Entrega final</w:t>
            </w:r>
          </w:p>
        </w:tc>
        <w:tc>
          <w:tcPr>
            <w:tcW w:w="2808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13-11-2026</w:t>
            </w:r>
          </w:p>
        </w:tc>
      </w:tr>
      <w:tr>
        <w:trPr>
          <w:cantSplit/>
        </w:trPr>
        <w:tc>
          <w:tcPr>
            <w:tcW w:w="6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H9 Defensa (probable)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27-11-2026</w:t>
            </w:r>
          </w:p>
        </w:tc>
      </w:tr>
    </w:tbl>
    <w:p>
      <w:pPr>
        <w:spacing w:before="0" w:after="60"/>
      </w:pPr>
    </w:p>
    <w:p>
      <w:pPr>
        <w:pStyle w:val="Ttulo1"/>
        <w:keepNext/>
        <w:spacing w:before="300" w:after="140"/>
      </w:pPr>
      <w:r>
        <w:rPr>
          <w:b/>
          <w:bCs/>
          <w:color w:val="1F4E5F"/>
          <w:sz w:val="26"/>
          <w:szCs w:val="26"/>
        </w:rPr>
        <w:t>Presupuesto inicial asignado</w:t>
      </w:r>
    </w:p>
    <w:p>
      <w:pPr>
        <w:spacing w:before="0" w:after="120" w:line="276" w:lineRule="auto"/>
      </w:pPr>
      <w:r>
        <w:rPr>
          <w:sz w:val="21"/>
          <w:szCs w:val="21"/>
        </w:rPr>
        <w:t>El proyecto académico no cuenta con presupuesto monetario asignado. Para efectos de gestión, el esfuerzo del equipo se valoriza en $1.906.632 (312 h) y la línea base con contingencia en $2.108.284. Los costos de operación (servidor de aplicaciones, plan de base de datos en Supabase, dominio y comisiones de la pasarela) los asume el negocio al pasar a producción (ver Plan de Costos).</w:t>
      </w:r>
    </w:p>
    <w:p>
      <w:pPr>
        <w:pStyle w:val="Ttulo1"/>
        <w:keepNext/>
        <w:spacing w:before="300" w:after="140"/>
      </w:pPr>
      <w:r>
        <w:rPr>
          <w:b/>
          <w:bCs/>
          <w:color w:val="1F4E5F"/>
          <w:sz w:val="26"/>
          <w:szCs w:val="26"/>
        </w:rPr>
        <w:t>Lista de Interesados (stakeholders)</w:t>
      </w:r>
    </w:p>
    <w:p>
      <w:pPr>
        <w:keepNext/>
        <w:spacing w:before="160" w:after="0"/>
      </w:pPr>
      <w:r>
        <w:rPr>
          <w:b/>
          <w:bCs/>
          <w:sz w:val="20"/>
          <w:szCs w:val="20"/>
        </w:rPr>
        <w:t>Tabla 7</w:t>
      </w:r>
    </w:p>
    <w:p>
      <w:pPr>
        <w:keepNext/>
        <w:spacing w:before="0" w:after="80"/>
      </w:pPr>
      <w:r>
        <w:rPr>
          <w:i/>
          <w:iCs/>
          <w:sz w:val="20"/>
          <w:szCs w:val="20"/>
        </w:rPr>
        <w:t>Lista de Interesados (stakeholders)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3276"/>
        <w:gridCol w:w="3744"/>
        <w:gridCol w:w="2340"/>
      </w:tblGrid>
      <w:tr>
        <w:trPr>
          <w:tblHeader/>
        </w:trPr>
        <w:tc>
          <w:tcPr>
            <w:tcW w:w="3276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Nombre</w:t>
            </w:r>
          </w:p>
        </w:tc>
        <w:tc>
          <w:tcPr>
            <w:tcW w:w="3744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Cargo</w:t>
            </w:r>
          </w:p>
        </w:tc>
        <w:tc>
          <w:tcPr>
            <w:tcW w:w="2340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Departamento / División</w:t>
            </w:r>
          </w:p>
        </w:tc>
      </w:tr>
      <w:tr>
        <w:trPr>
          <w:cantSplit/>
        </w:trPr>
        <w:tc>
          <w:tcPr>
            <w:tcW w:w="32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Yerko Rosales</w:t>
            </w:r>
          </w:p>
        </w:tc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Jefe de Proyecto / Analista y Diseño UX/UI</w:t>
            </w:r>
          </w:p>
        </w:tc>
        <w:tc>
          <w:tcPr>
            <w:tcW w:w="23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Equipo de proyecto</w:t>
            </w:r>
          </w:p>
        </w:tc>
      </w:tr>
      <w:tr>
        <w:trPr>
          <w:cantSplit/>
        </w:trPr>
        <w:tc>
          <w:tcPr>
            <w:tcW w:w="3276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Jonathan Ojeda</w:t>
            </w:r>
          </w:p>
        </w:tc>
        <w:tc>
          <w:tcPr>
            <w:tcW w:w="3744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Desarrollo Backend y Base de Datos</w:t>
            </w:r>
          </w:p>
        </w:tc>
        <w:tc>
          <w:tcPr>
            <w:tcW w:w="2340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Equipo de proyecto</w:t>
            </w:r>
          </w:p>
        </w:tc>
      </w:tr>
      <w:tr>
        <w:trPr>
          <w:cantSplit/>
        </w:trPr>
        <w:tc>
          <w:tcPr>
            <w:tcW w:w="32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Fernando Herrera</w:t>
            </w:r>
          </w:p>
        </w:tc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Docente Capstone (evaluador)</w:t>
            </w:r>
          </w:p>
        </w:tc>
        <w:tc>
          <w:tcPr>
            <w:tcW w:w="23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Docencia</w:t>
            </w:r>
          </w:p>
        </w:tc>
      </w:tr>
      <w:tr>
        <w:trPr>
          <w:cantSplit/>
        </w:trPr>
        <w:tc>
          <w:tcPr>
            <w:tcW w:w="3276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Dueño/a de Barbería Big-Boys</w:t>
            </w:r>
          </w:p>
        </w:tc>
        <w:tc>
          <w:tcPr>
            <w:tcW w:w="3744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Patrocinador y responsable de los datos</w:t>
            </w:r>
          </w:p>
        </w:tc>
        <w:tc>
          <w:tcPr>
            <w:tcW w:w="2340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Barbería Big-Boys</w:t>
            </w:r>
          </w:p>
        </w:tc>
      </w:tr>
      <w:tr>
        <w:trPr>
          <w:cantSplit/>
        </w:trPr>
        <w:tc>
          <w:tcPr>
            <w:tcW w:w="32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Administradores y barberos de las 3 sucursales</w:t>
            </w:r>
          </w:p>
        </w:tc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Usuarios internos</w:t>
            </w:r>
          </w:p>
        </w:tc>
        <w:tc>
          <w:tcPr>
            <w:tcW w:w="23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Barbería Big-Boys</w:t>
            </w:r>
          </w:p>
        </w:tc>
      </w:tr>
      <w:tr>
        <w:trPr>
          <w:cantSplit/>
        </w:trPr>
        <w:tc>
          <w:tcPr>
            <w:tcW w:w="3276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Clientes registrados e invitados</w:t>
            </w:r>
          </w:p>
        </w:tc>
        <w:tc>
          <w:tcPr>
            <w:tcW w:w="3744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Usuarios finales y titulares de datos</w:t>
            </w:r>
          </w:p>
        </w:tc>
        <w:tc>
          <w:tcPr>
            <w:tcW w:w="2340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32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Agencia de Protección de Datos Personales</w:t>
            </w:r>
          </w:p>
        </w:tc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Regulador externo</w:t>
            </w:r>
          </w:p>
        </w:tc>
        <w:tc>
          <w:tcPr>
            <w:tcW w:w="23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Estado de Chile</w:t>
            </w:r>
          </w:p>
        </w:tc>
      </w:tr>
    </w:tbl>
    <w:p>
      <w:pPr>
        <w:spacing w:before="0" w:after="60"/>
      </w:pPr>
    </w:p>
    <w:p>
      <w:pPr>
        <w:pStyle w:val="Ttulo1"/>
        <w:keepNext/>
        <w:spacing w:before="300" w:after="140"/>
      </w:pPr>
      <w:r>
        <w:rPr>
          <w:b/>
          <w:bCs/>
          <w:color w:val="1F4E5F"/>
          <w:sz w:val="26"/>
          <w:szCs w:val="26"/>
        </w:rPr>
        <w:t>Asignación del gerente de proyecto y nivel de autoridad</w:t>
      </w:r>
    </w:p>
    <w:p>
      <w:pPr>
        <w:pStyle w:val="Ttulo2"/>
        <w:keepNext/>
        <w:spacing w:before="220" w:after="100"/>
      </w:pPr>
      <w:r>
        <w:rPr>
          <w:b/>
          <w:bCs/>
          <w:color w:val="2E6B7E"/>
          <w:sz w:val="22"/>
          <w:szCs w:val="22"/>
        </w:rPr>
        <w:t>Gerente de proyecto</w:t>
      </w:r>
    </w:p>
    <w:p>
      <w:pPr>
        <w:keepNext/>
        <w:spacing w:before="160" w:after="0"/>
      </w:pPr>
      <w:r>
        <w:rPr>
          <w:b/>
          <w:bCs/>
          <w:sz w:val="20"/>
          <w:szCs w:val="20"/>
        </w:rPr>
        <w:t>Tabla 8</w:t>
      </w:r>
    </w:p>
    <w:p>
      <w:pPr>
        <w:keepNext/>
        <w:spacing w:before="0" w:after="80"/>
      </w:pPr>
      <w:r>
        <w:rPr>
          <w:i/>
          <w:iCs/>
          <w:sz w:val="20"/>
          <w:szCs w:val="20"/>
        </w:rPr>
        <w:t>Gerente de proyecto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808"/>
        <w:gridCol w:w="4212"/>
        <w:gridCol w:w="2340"/>
      </w:tblGrid>
      <w:tr>
        <w:trPr>
          <w:tblHeader/>
        </w:trPr>
        <w:tc>
          <w:tcPr>
            <w:tcW w:w="2808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Nombre</w:t>
            </w:r>
          </w:p>
        </w:tc>
        <w:tc>
          <w:tcPr>
            <w:tcW w:w="4212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Cargo</w:t>
            </w:r>
          </w:p>
        </w:tc>
        <w:tc>
          <w:tcPr>
            <w:tcW w:w="2340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Departamento / División</w:t>
            </w:r>
          </w:p>
        </w:tc>
      </w:tr>
      <w:tr>
        <w:trPr>
          <w:cantSplit/>
        </w:trPr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Yerko Rosales</w:t>
            </w:r>
          </w:p>
        </w:tc>
        <w:tc>
          <w:tcPr>
            <w:tcW w:w="42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Gerente de Proyecto / Analista, UX-UI y QA</w:t>
            </w:r>
          </w:p>
        </w:tc>
        <w:tc>
          <w:tcPr>
            <w:tcW w:w="23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Equipo de proyecto APT</w:t>
            </w:r>
          </w:p>
        </w:tc>
      </w:tr>
    </w:tbl>
    <w:p>
      <w:pPr>
        <w:spacing w:before="0" w:after="60"/>
      </w:pPr>
    </w:p>
    <w:p>
      <w:pPr>
        <w:pStyle w:val="Ttulo2"/>
        <w:keepNext/>
        <w:spacing w:before="220" w:after="100"/>
      </w:pPr>
      <w:r>
        <w:rPr>
          <w:b/>
          <w:bCs/>
          <w:color w:val="2E6B7E"/>
          <w:sz w:val="22"/>
          <w:szCs w:val="22"/>
        </w:rPr>
        <w:t>Niveles de autoridad</w:t>
      </w:r>
    </w:p>
    <w:p>
      <w:pPr>
        <w:keepNext/>
        <w:spacing w:before="160" w:after="0"/>
      </w:pPr>
      <w:r>
        <w:rPr>
          <w:b/>
          <w:bCs/>
          <w:sz w:val="20"/>
          <w:szCs w:val="20"/>
        </w:rPr>
        <w:t>Tabla 9</w:t>
      </w:r>
    </w:p>
    <w:p>
      <w:pPr>
        <w:keepNext/>
        <w:spacing w:before="0" w:after="80"/>
      </w:pPr>
      <w:r>
        <w:rPr>
          <w:i/>
          <w:iCs/>
          <w:sz w:val="20"/>
          <w:szCs w:val="20"/>
        </w:rPr>
        <w:t>Niveles de autoridad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3276"/>
        <w:gridCol w:w="6084"/>
      </w:tblGrid>
      <w:tr>
        <w:trPr>
          <w:tblHeader/>
        </w:trPr>
        <w:tc>
          <w:tcPr>
            <w:tcW w:w="3276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Área de autoridad</w:t>
            </w:r>
          </w:p>
        </w:tc>
        <w:tc>
          <w:tcPr>
            <w:tcW w:w="6084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Descripción del nivel de autoridad</w:t>
            </w:r>
          </w:p>
        </w:tc>
      </w:tr>
      <w:tr>
        <w:trPr>
          <w:cantSplit/>
        </w:trPr>
        <w:tc>
          <w:tcPr>
            <w:tcW w:w="32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Decisiones de personal (Staffing)</w:t>
            </w:r>
          </w:p>
        </w:tc>
        <w:tc>
          <w:tcPr>
            <w:tcW w:w="60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Coordina las tareas de ambos integrantes según los roles definidos.</w:t>
            </w:r>
          </w:p>
        </w:tc>
      </w:tr>
      <w:tr>
        <w:trPr>
          <w:cantSplit/>
        </w:trPr>
        <w:tc>
          <w:tcPr>
            <w:tcW w:w="3276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Gestión de presupuesto y de sus variaciones</w:t>
            </w:r>
          </w:p>
        </w:tc>
        <w:tc>
          <w:tcPr>
            <w:tcW w:w="6084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Administra la línea base valorizada; el uso de la reserva de gestión requiere aprobación del patrocinador.</w:t>
            </w:r>
          </w:p>
        </w:tc>
      </w:tr>
      <w:tr>
        <w:trPr>
          <w:cantSplit/>
        </w:trPr>
        <w:tc>
          <w:tcPr>
            <w:tcW w:w="32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Decisiones técnicas</w:t>
            </w:r>
          </w:p>
        </w:tc>
        <w:tc>
          <w:tcPr>
            <w:tcW w:w="60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Compartidas según el área (UX/UI: Yerko Rosales; backend y base de datos: Jonathan Ojeda), consensuadas en la reunión semanal.</w:t>
            </w:r>
          </w:p>
        </w:tc>
      </w:tr>
      <w:tr>
        <w:trPr>
          <w:cantSplit/>
        </w:trPr>
        <w:tc>
          <w:tcPr>
            <w:tcW w:w="3276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Resolución de conflictos</w:t>
            </w:r>
          </w:p>
        </w:tc>
        <w:tc>
          <w:tcPr>
            <w:tcW w:w="6084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En conjunto entre los integrantes; de no haber acuerdo, se consulta al docente.</w:t>
            </w:r>
          </w:p>
        </w:tc>
      </w:tr>
      <w:tr>
        <w:trPr>
          <w:cantSplit/>
        </w:trPr>
        <w:tc>
          <w:tcPr>
            <w:tcW w:w="32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Ruta de escalamiento y limitaciones de autoridad</w:t>
            </w:r>
          </w:p>
        </w:tc>
        <w:tc>
          <w:tcPr>
            <w:tcW w:w="60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Equipo de proyecto → Patrocinador (negocio) / Docente Capstone (académico).</w:t>
            </w:r>
          </w:p>
        </w:tc>
      </w:tr>
    </w:tbl>
    <w:p>
      <w:pPr>
        <w:spacing w:before="0" w:after="60"/>
      </w:pPr>
    </w:p>
    <w:p>
      <w:pPr>
        <w:pStyle w:val="Ttulo1"/>
        <w:keepNext/>
        <w:spacing w:before="300" w:after="140"/>
      </w:pPr>
      <w:r>
        <w:rPr>
          <w:b/>
          <w:bCs/>
          <w:color w:val="1F4E5F"/>
          <w:sz w:val="26"/>
          <w:szCs w:val="26"/>
        </w:rPr>
        <w:t>Personal y recursos pre asignados</w:t>
      </w:r>
    </w:p>
    <w:p>
      <w:pPr>
        <w:keepNext/>
        <w:spacing w:before="160" w:after="0"/>
      </w:pPr>
      <w:r>
        <w:rPr>
          <w:b/>
          <w:bCs/>
          <w:sz w:val="20"/>
          <w:szCs w:val="20"/>
        </w:rPr>
        <w:t>Tabla 10</w:t>
      </w:r>
    </w:p>
    <w:p>
      <w:pPr>
        <w:keepNext/>
        <w:spacing w:before="0" w:after="80"/>
      </w:pPr>
      <w:r>
        <w:rPr>
          <w:i/>
          <w:iCs/>
          <w:sz w:val="20"/>
          <w:szCs w:val="20"/>
        </w:rPr>
        <w:t>Personal y recursos pre asignados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6552"/>
        <w:gridCol w:w="2808"/>
      </w:tblGrid>
      <w:tr>
        <w:trPr>
          <w:tblHeader/>
        </w:trPr>
        <w:tc>
          <w:tcPr>
            <w:tcW w:w="6552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Recurso</w:t>
            </w:r>
          </w:p>
        </w:tc>
        <w:tc>
          <w:tcPr>
            <w:tcW w:w="2808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Departamento / División</w:t>
            </w:r>
          </w:p>
        </w:tc>
      </w:tr>
      <w:tr>
        <w:trPr>
          <w:cantSplit/>
        </w:trPr>
        <w:tc>
          <w:tcPr>
            <w:tcW w:w="6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Yerko Rosales — gestión, análisis, UX/UI y QA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Equipo de proyecto</w:t>
            </w:r>
          </w:p>
        </w:tc>
      </w:tr>
      <w:tr>
        <w:trPr>
          <w:cantSplit/>
        </w:trPr>
        <w:tc>
          <w:tcPr>
            <w:tcW w:w="6552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Jonathan Ojeda — backend, base de datos, web y app</w:t>
            </w:r>
          </w:p>
        </w:tc>
        <w:tc>
          <w:tcPr>
            <w:tcW w:w="2808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Equipo de proyecto</w:t>
            </w:r>
          </w:p>
        </w:tc>
      </w:tr>
      <w:tr>
        <w:trPr>
          <w:cantSplit/>
        </w:trPr>
        <w:tc>
          <w:tcPr>
            <w:tcW w:w="6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Equipos propios, GitHub, Android Studio, PostgreSQL, PlantUML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Recursos técnicos</w:t>
            </w:r>
          </w:p>
        </w:tc>
      </w:tr>
    </w:tbl>
    <w:p>
      <w:pPr>
        <w:spacing w:before="0" w:after="60"/>
      </w:pPr>
    </w:p>
    <w:p>
      <w:pPr>
        <w:pStyle w:val="Ttulo1"/>
        <w:keepNext/>
        <w:spacing w:before="300" w:after="140"/>
      </w:pPr>
      <w:r>
        <w:rPr>
          <w:b/>
          <w:bCs/>
          <w:color w:val="1F4E5F"/>
          <w:sz w:val="26"/>
          <w:szCs w:val="26"/>
        </w:rPr>
        <w:t>Aprobaciones</w:t>
      </w:r>
    </w:p>
    <w:p>
      <w:pPr>
        <w:keepNext/>
        <w:spacing w:before="160" w:after="0"/>
      </w:pPr>
      <w:r>
        <w:rPr>
          <w:b/>
          <w:bCs/>
          <w:sz w:val="20"/>
          <w:szCs w:val="20"/>
        </w:rPr>
        <w:t>Tabla 11</w:t>
      </w:r>
    </w:p>
    <w:p>
      <w:pPr>
        <w:keepNext/>
        <w:spacing w:before="0" w:after="80"/>
      </w:pPr>
      <w:r>
        <w:rPr>
          <w:i/>
          <w:iCs/>
          <w:sz w:val="20"/>
          <w:szCs w:val="20"/>
        </w:rPr>
        <w:t>Aprobaciones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1872"/>
        <w:gridCol w:w="2808"/>
      </w:tblGrid>
      <w:tr>
        <w:trPr>
          <w:tblHeader/>
        </w:trPr>
        <w:tc>
          <w:tcPr>
            <w:tcW w:w="4680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Patrocinador</w:t>
            </w:r>
          </w:p>
        </w:tc>
        <w:tc>
          <w:tcPr>
            <w:tcW w:w="1872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808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Firma</w:t>
            </w:r>
          </w:p>
        </w:tc>
      </w:tr>
      <w:tr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[Nombre por validar] — Dueño/a de Barbería Big-Boys</w:t>
            </w:r>
          </w:p>
        </w:tc>
        <w:tc>
          <w:tcPr>
            <w:tcW w:w="18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60"/>
      </w:pPr>
    </w:p>
    <w:p>
      <w:pPr>
        <w:pStyle w:val="Ttulo1"/>
        <w:keepNext/>
        <w:spacing w:before="300" w:after="140"/>
      </w:pPr>
      <w:r>
        <w:rPr>
          <w:b/>
          <w:bCs/>
          <w:color w:val="1F4E5F"/>
          <w:sz w:val="26"/>
          <w:szCs w:val="26"/>
        </w:rPr>
        <w:t>Registro de versiones</w:t>
      </w:r>
    </w:p>
    <w:p>
      <w:pPr>
        <w:keepNext/>
        <w:spacing w:before="160" w:after="0"/>
      </w:pPr>
      <w:r>
        <w:rPr>
          <w:b/>
          <w:bCs/>
          <w:sz w:val="20"/>
          <w:szCs w:val="20"/>
        </w:rPr>
        <w:t>Tabla 12</w:t>
      </w:r>
    </w:p>
    <w:p>
      <w:pPr>
        <w:keepNext/>
        <w:spacing w:before="0" w:after="80"/>
      </w:pPr>
      <w:r>
        <w:rPr>
          <w:i/>
          <w:iCs/>
          <w:sz w:val="20"/>
          <w:szCs w:val="20"/>
        </w:rPr>
        <w:t>Registro de versiones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123"/>
        <w:gridCol w:w="1404"/>
        <w:gridCol w:w="6833"/>
      </w:tblGrid>
      <w:tr>
        <w:trPr>
          <w:tblHeader/>
        </w:trPr>
        <w:tc>
          <w:tcPr>
            <w:tcW w:w="1123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Versión</w:t>
            </w:r>
          </w:p>
        </w:tc>
        <w:tc>
          <w:tcPr>
            <w:tcW w:w="1404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6833" w:type="dxa"/>
            <w:shd w:val="clear" w:color="auto" w:fill="1F4E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Cambio</w:t>
            </w:r>
          </w:p>
        </w:tc>
      </w:tr>
      <w:tr>
        <w:trPr>
          <w:cantSplit/>
        </w:trPr>
        <w:tc>
          <w:tcPr>
            <w:tcW w:w="1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1.0</w:t>
            </w:r>
          </w:p>
        </w:tc>
        <w:tc>
          <w:tcPr>
            <w:tcW w:w="14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03-09-2026</w:t>
            </w:r>
          </w:p>
        </w:tc>
        <w:tc>
          <w:tcPr>
            <w:tcW w:w="68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Versión inicial</w:t>
            </w:r>
          </w:p>
        </w:tc>
      </w:tr>
      <w:tr>
        <w:trPr>
          <w:cantSplit/>
        </w:trPr>
        <w:tc>
          <w:tcPr>
            <w:tcW w:w="1123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2.0</w:t>
            </w:r>
          </w:p>
        </w:tc>
        <w:tc>
          <w:tcPr>
            <w:tcW w:w="1404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09-10-2026</w:t>
            </w:r>
          </w:p>
        </w:tc>
        <w:tc>
          <w:tcPr>
            <w:tcW w:w="6833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Nombre oficial; 3 sucursales; abono $3.000 parametrizable; KPIs y beneficios cuantificados; objetivo OE5 y diferenciador Ley N° 21.719; base relacional; fechas corregidas (SC-01 a SC-07)</w:t>
            </w:r>
          </w:p>
        </w:tc>
      </w:tr>
      <w:tr>
        <w:trPr>
          <w:cantSplit/>
        </w:trPr>
        <w:tc>
          <w:tcPr>
            <w:tcW w:w="1123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2.1</w:t>
            </w:r>
          </w:p>
        </w:tc>
        <w:tc>
          <w:tcPr>
            <w:tcW w:w="1404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22-10-2026</w:t>
            </w:r>
          </w:p>
        </w:tc>
        <w:tc>
          <w:tcPr>
            <w:tcW w:w="6833" w:type="dxa"/>
            <w:shd w:val="clear" w:color="auto" w:fill="F2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>Costos de operación alineados con la base de datos en Supabase (SC-18) y el alojamiento de la API por definir (SC-20)</w:t>
            </w:r>
          </w:p>
        </w:tc>
      </w:tr>
    </w:tbl>
    <w:p>
      <w:pPr>
        <w:spacing w:before="0" w:after="60"/>
      </w:pPr>
    </w:p>
    <w:p>
      <w:pPr>
        <w:pStyle w:val="Ttulo1"/>
        <w:keepNext/>
        <w:pageBreakBefore/>
        <w:spacing w:before="300" w:after="140"/>
      </w:pPr>
      <w:r>
        <w:rPr>
          <w:b/>
          <w:bCs/>
          <w:color w:val="1F4E5F"/>
          <w:sz w:val="26"/>
          <w:szCs w:val="26"/>
        </w:rPr>
        <w:t>Referencias</w:t>
      </w:r>
    </w:p>
    <w:p>
      <w:pPr>
        <w:spacing w:before="0" w:after="120" w:line="360" w:lineRule="auto"/>
        <w:ind w:left="720" w:hanging="720"/>
      </w:pPr>
      <w:r>
        <w:rPr>
          <w:sz w:val="21"/>
          <w:szCs w:val="21"/>
        </w:rPr>
        <w:t xml:space="preserve">Ley N° 21.719. (2024, 13 de diciembre). </w:t>
      </w:r>
      <w:r>
        <w:rPr>
          <w:i/>
          <w:iCs/>
          <w:sz w:val="21"/>
          <w:szCs w:val="21"/>
        </w:rPr>
        <w:t>Regula la protección y el tratamiento de los datos personales y crea la Agencia de Protección de Datos Personales</w:t>
      </w:r>
      <w:r>
        <w:rPr>
          <w:sz w:val="21"/>
          <w:szCs w:val="21"/>
        </w:rPr>
        <w:t>. Diario Oficial de la República de Chile. https://www.bcn.cl/leychile/navegar?idNorma=1209272</w:t>
      </w:r>
    </w:p>
    <w:p>
      <w:pPr>
        <w:spacing w:before="0" w:after="120" w:line="360" w:lineRule="auto"/>
        <w:ind w:left="720" w:hanging="720"/>
      </w:pPr>
      <w:r>
        <w:rPr>
          <w:sz w:val="21"/>
          <w:szCs w:val="21"/>
        </w:rPr>
        <w:t xml:space="preserve">Project Management Institute [PMI]. (2021). </w:t>
      </w:r>
      <w:r>
        <w:rPr>
          <w:i/>
          <w:iCs/>
          <w:sz w:val="21"/>
          <w:szCs w:val="21"/>
        </w:rPr>
        <w:t>A guide to the project management body of knowledge (PMBOK® guide)</w:t>
      </w:r>
      <w:r>
        <w:rPr>
          <w:sz w:val="21"/>
          <w:szCs w:val="21"/>
        </w:rPr>
        <w:t xml:space="preserve"> (7.ª ed.). Project Management Institute.</w:t>
      </w:r>
    </w:p>
    <w:p>
      <w:pPr>
        <w:spacing w:before="0" w:after="120" w:line="360" w:lineRule="auto"/>
        <w:ind w:left="720" w:hanging="720"/>
      </w:pPr>
      <w:r>
        <w:rPr>
          <w:sz w:val="21"/>
          <w:szCs w:val="21"/>
        </w:rPr>
        <w:t xml:space="preserve">Servicio de Impuestos Internos [SII]. (2026a). </w:t>
      </w:r>
      <w:r>
        <w:rPr>
          <w:i/>
          <w:iCs/>
          <w:sz w:val="21"/>
          <w:szCs w:val="21"/>
        </w:rPr>
        <w:t>Unidad Tributaria Mensual (UTM) 2026</w:t>
      </w:r>
      <w:r>
        <w:rPr>
          <w:sz w:val="21"/>
          <w:szCs w:val="21"/>
        </w:rPr>
        <w:t>. Recuperado el 6 de octubre de 2026, de https://www.sii.cl/valores_y_fechas/utm/utm2026.htm</w:t>
      </w:r>
    </w:p>
    <w:sectPr w:rsidR="006D1676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11E65"/>
    <w:multiLevelType w:val="hybridMultilevel"/>
    <w:tmpl w:val="9F7E230A"/>
    <w:lvl w:ilvl="0" w:tplc="B1F20CFE">
      <w:start w:val="1"/>
      <w:numFmt w:val="bullet"/>
      <w:lvlText w:val="●"/>
      <w:lvlJc w:val="left"/>
      <w:pPr>
        <w:ind w:left="720" w:hanging="360"/>
      </w:pPr>
    </w:lvl>
    <w:lvl w:ilvl="1" w:tplc="C498B5E0">
      <w:start w:val="1"/>
      <w:numFmt w:val="bullet"/>
      <w:lvlText w:val="○"/>
      <w:lvlJc w:val="left"/>
      <w:pPr>
        <w:ind w:left="1440" w:hanging="360"/>
      </w:pPr>
    </w:lvl>
    <w:lvl w:ilvl="2" w:tplc="FD30BBEC">
      <w:start w:val="1"/>
      <w:numFmt w:val="bullet"/>
      <w:lvlText w:val="■"/>
      <w:lvlJc w:val="left"/>
      <w:pPr>
        <w:ind w:left="2160" w:hanging="360"/>
      </w:pPr>
    </w:lvl>
    <w:lvl w:ilvl="3" w:tplc="D3A02CCA">
      <w:start w:val="1"/>
      <w:numFmt w:val="bullet"/>
      <w:lvlText w:val="●"/>
      <w:lvlJc w:val="left"/>
      <w:pPr>
        <w:ind w:left="2880" w:hanging="360"/>
      </w:pPr>
    </w:lvl>
    <w:lvl w:ilvl="4" w:tplc="D146F63C">
      <w:start w:val="1"/>
      <w:numFmt w:val="bullet"/>
      <w:lvlText w:val="○"/>
      <w:lvlJc w:val="left"/>
      <w:pPr>
        <w:ind w:left="3600" w:hanging="360"/>
      </w:pPr>
    </w:lvl>
    <w:lvl w:ilvl="5" w:tplc="0A66297C">
      <w:start w:val="1"/>
      <w:numFmt w:val="bullet"/>
      <w:lvlText w:val="■"/>
      <w:lvlJc w:val="left"/>
      <w:pPr>
        <w:ind w:left="4320" w:hanging="360"/>
      </w:pPr>
    </w:lvl>
    <w:lvl w:ilvl="6" w:tplc="BD7E2C66">
      <w:start w:val="1"/>
      <w:numFmt w:val="bullet"/>
      <w:lvlText w:val="●"/>
      <w:lvlJc w:val="left"/>
      <w:pPr>
        <w:ind w:left="5040" w:hanging="360"/>
      </w:pPr>
    </w:lvl>
    <w:lvl w:ilvl="7" w:tplc="B9FC8130">
      <w:start w:val="1"/>
      <w:numFmt w:val="bullet"/>
      <w:lvlText w:val="●"/>
      <w:lvlJc w:val="left"/>
      <w:pPr>
        <w:ind w:left="5760" w:hanging="360"/>
      </w:pPr>
    </w:lvl>
    <w:lvl w:ilvl="8" w:tplc="78746DF4">
      <w:start w:val="1"/>
      <w:numFmt w:val="bullet"/>
      <w:lvlText w:val="●"/>
      <w:lvlJc w:val="left"/>
      <w:pPr>
        <w:ind w:left="6480" w:hanging="360"/>
      </w:pPr>
    </w:lvl>
  </w:abstractNum>
  <w:num w:numId="1" w16cid:durableId="9201416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874"/>
    <w:rsid w:val="000C367D"/>
    <w:rsid w:val="006D1676"/>
    <w:rsid w:val="007E7053"/>
    <w:rsid w:val="00911D40"/>
    <w:rsid w:val="00BB3130"/>
    <w:rsid w:val="00BF4874"/>
    <w:rsid w:val="00CC5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53623"/>
  <w15:docId w15:val="{A8C6BD89-47D9-4098-95A6-FA7BD1379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1036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Yerko Rosales, Jonathan Ojeda</dc:creator>
  <cp:lastModifiedBy>YERKO ALEXIS ROSALES BOBADILLA</cp:lastModifiedBy>
  <cp:revision>4</cp:revision>
  <dcterms:created xsi:type="dcterms:W3CDTF">2026-09-03T17:37:00Z</dcterms:created>
  <dcterms:modified xsi:type="dcterms:W3CDTF">2026-09-04T17:00:00Z</dcterms:modified>
  <dc:title>Acta de Constitucion - Barberia Big Boys</dc:title>
</cp:coreProperties>
</file>