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Введение</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Сельское хозяйство является одной из самых значимых отраслей экономики. В каждом регионе погодные и географические условия позволяют выращивать определенные культуры. Также в настоящее время в Казахстане  уделяют пристальное внимание животноводческой отрасли. Казахстанский народ издревле считался кочевым народом, и огромные пастбищные угодья позволяли людям выращивать скот в экологически чистых условиях. Казахстан имеет большой потенциал в плане экспорта животноводческой продукции, и в особенности, в поставках мяса. Наличие в стране огромных естественных пастбищных угодий дает прекрасную возможность производить конкурентоспособную и, что немаловажно, экологически чистую животноводческую продукцию[67].</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 настоящее время на долю животноводства приходится 45% от общего объема валовой продукции сельского хозяйства Казахстана. В 2019-ом отрасль завершила год с показателем 2,3 трлн тенге, а тем временем растениеводство произвело продукции почти на 600 млрд тенге больше. В рамках развития АПК на 2017-2021 годы, на субсидирование инвестиционных проектов в сфере животноводства направлено порядка 30% или 35,9 млрд. тенге. Основываясь на  анализе и сопоставлении потенциала рынков соседних государств и внутренних возможностей производства страны основным и долгосрочным приоритетом развития АПК определено будет являться мясное животноводство.</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Целевые индикаторы отраслевой программы развития предусмотривают  наращивание к 2028 году экспорта говядины в десятки раз — до 372 тыс. т, то есть вхождение страны в десятку крупнейших экспортеров говядины в мире.[68].</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1.1 Анализ текущего состояния и перспективы создания  интелектуальных систем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По данным баланса земель на </w:t>
      </w:r>
      <w:r>
        <w:rPr>
          <w:rFonts w:eastAsia="Times New Roman" w:cs="Times New Roman" w:ascii="Times New Roman" w:hAnsi="Times New Roman"/>
          <w:b/>
          <w:sz w:val="28"/>
          <w:szCs w:val="28"/>
        </w:rPr>
        <w:t>1 ноября 2021 года</w:t>
      </w:r>
      <w:r>
        <w:rPr>
          <w:rFonts w:eastAsia="Times New Roman" w:cs="Times New Roman" w:ascii="Times New Roman" w:hAnsi="Times New Roman"/>
          <w:sz w:val="28"/>
          <w:szCs w:val="28"/>
        </w:rPr>
        <w:t xml:space="preserve"> земельный фонд, используемый Республикой Казахстан, составляет </w:t>
      </w:r>
      <w:r>
        <w:rPr>
          <w:rFonts w:eastAsia="Times New Roman" w:cs="Times New Roman" w:ascii="Times New Roman" w:hAnsi="Times New Roman"/>
          <w:b/>
          <w:sz w:val="28"/>
          <w:szCs w:val="28"/>
        </w:rPr>
        <w:t>262,9 млн. га</w:t>
      </w:r>
      <w:r>
        <w:rPr>
          <w:rFonts w:eastAsia="Times New Roman" w:cs="Times New Roman" w:ascii="Times New Roman" w:hAnsi="Times New Roman"/>
          <w:sz w:val="28"/>
          <w:szCs w:val="28"/>
        </w:rPr>
        <w:t xml:space="preserve">. Площадь земельного фонда сельскохозяйственного назначения Республики Казахстан составляляет </w:t>
      </w:r>
      <w:r>
        <w:rPr>
          <w:rFonts w:eastAsia="Times New Roman" w:cs="Times New Roman" w:ascii="Times New Roman" w:hAnsi="Times New Roman"/>
          <w:b/>
          <w:sz w:val="28"/>
          <w:szCs w:val="28"/>
        </w:rPr>
        <w:t>43,3,%</w:t>
      </w:r>
      <w:r>
        <w:rPr>
          <w:rFonts w:eastAsia="Times New Roman" w:cs="Times New Roman" w:ascii="Times New Roman" w:hAnsi="Times New Roman"/>
          <w:sz w:val="28"/>
          <w:szCs w:val="28"/>
        </w:rPr>
        <w:t xml:space="preserve"> от общей площади (113,9 млн. га), в том числе пашня – 24,3 млн. га, из них орошаемых земель – 1,7 млн. га, залежей – 2,6 млн. га, сенокосов – 2 млн. га, пастбищ – </w:t>
      </w:r>
      <w:r>
        <w:rPr>
          <w:rFonts w:eastAsia="Times New Roman" w:cs="Times New Roman" w:ascii="Times New Roman" w:hAnsi="Times New Roman"/>
          <w:b/>
          <w:sz w:val="28"/>
          <w:szCs w:val="28"/>
        </w:rPr>
        <w:t>70</w:t>
      </w:r>
      <w:r>
        <w:rPr>
          <w:rFonts w:eastAsia="Times New Roman" w:cs="Times New Roman" w:ascii="Times New Roman" w:hAnsi="Times New Roman"/>
          <w:sz w:val="28"/>
          <w:szCs w:val="28"/>
        </w:rPr>
        <w:t xml:space="preserve"> </w:t>
      </w:r>
      <w:r>
        <w:rPr>
          <w:rFonts w:eastAsia="Times New Roman" w:cs="Times New Roman" w:ascii="Times New Roman" w:hAnsi="Times New Roman"/>
          <w:b/>
          <w:sz w:val="28"/>
          <w:szCs w:val="28"/>
        </w:rPr>
        <w:t>млн. га</w:t>
      </w:r>
      <w:r>
        <w:rPr>
          <w:rFonts w:eastAsia="Times New Roman" w:cs="Times New Roman" w:ascii="Times New Roman" w:hAnsi="Times New Roman"/>
          <w:sz w:val="28"/>
          <w:szCs w:val="28"/>
        </w:rPr>
        <w:t>[63].</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категории земель сельскохозяйственного назначения находятся наиболее ценные в сельскохозяйственном отношении земли республики: 97,9 % пашни, в том числе 91.2 % - орошаемой, 41,. % - многолетних насаждений, 51,7 % - залежи, 44,9 % - сенокосов, из них 36,6 % - улучшенных и 45,0 % - лиманного орошения[63]. В таблице 1 приведен более детальный обзор струкуры земели сельскохозяйственного назначения.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Казахстане, по данным статистики, порядка </w:t>
      </w:r>
      <w:r>
        <w:rPr>
          <w:rFonts w:eastAsia="Times New Roman" w:cs="Times New Roman" w:ascii="Times New Roman" w:hAnsi="Times New Roman"/>
          <w:b/>
          <w:sz w:val="28"/>
          <w:szCs w:val="28"/>
        </w:rPr>
        <w:t>178,8 млн га</w:t>
      </w:r>
      <w:r>
        <w:rPr>
          <w:rFonts w:eastAsia="Times New Roman" w:cs="Times New Roman" w:ascii="Times New Roman" w:hAnsi="Times New Roman"/>
          <w:sz w:val="28"/>
          <w:szCs w:val="28"/>
        </w:rPr>
        <w:t xml:space="preserve"> пастбищ, из них за сельхозпроизводителями закреплено </w:t>
      </w:r>
      <w:r>
        <w:rPr>
          <w:rFonts w:eastAsia="Times New Roman" w:cs="Times New Roman" w:ascii="Times New Roman" w:hAnsi="Times New Roman"/>
          <w:b/>
          <w:sz w:val="28"/>
          <w:szCs w:val="28"/>
        </w:rPr>
        <w:t>80,5 млн га</w:t>
      </w:r>
      <w:r>
        <w:rPr>
          <w:rFonts w:eastAsia="Times New Roman" w:cs="Times New Roman" w:ascii="Times New Roman" w:hAnsi="Times New Roman"/>
          <w:sz w:val="28"/>
          <w:szCs w:val="28"/>
        </w:rPr>
        <w:t>.</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1 – Удельный вес земель сельскохозяйственного назначения в структуре сельскохозяйственных угодий республики на 1 ноября 2021 года. тыс. га[63]</w:t>
      </w:r>
    </w:p>
    <w:tbl>
      <w:tblPr>
        <w:tblStyle w:val="Table1"/>
        <w:tblW w:w="9029" w:type="dxa"/>
        <w:jc w:val="left"/>
        <w:tblInd w:w="0" w:type="dxa"/>
        <w:tblCellMar>
          <w:top w:w="100" w:type="dxa"/>
          <w:left w:w="10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Наименование угодии</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Площадь, всего*</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Из них на землях сельхозназначения</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Сельскохозяйственные угодья</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214 191.9</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110 971.8</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51.8</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из них:</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Пашня, всего</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26 660.6</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26 120.5</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97.9</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том числе: орошаемая</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1 736.2</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1 584.2</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91.2</w:t>
            </w:r>
          </w:p>
        </w:tc>
      </w:tr>
    </w:tbl>
    <w:p>
      <w:pPr>
        <w:pStyle w:val="Normal1"/>
        <w:jc w:val="right"/>
        <w:rPr>
          <w:rFonts w:ascii="Times New Roman" w:hAnsi="Times New Roman" w:eastAsia="Times New Roman" w:cs="Times New Roman"/>
          <w:sz w:val="28"/>
          <w:szCs w:val="28"/>
        </w:rPr>
      </w:pPr>
      <w:r>
        <w:rPr/>
      </w:r>
    </w:p>
    <w:p>
      <w:pPr>
        <w:pStyle w:val="Normal1"/>
        <w:jc w:val="right"/>
        <w:rPr>
          <w:rFonts w:ascii="Times New Roman" w:hAnsi="Times New Roman" w:eastAsia="Times New Roman" w:cs="Times New Roman"/>
          <w:sz w:val="28"/>
          <w:szCs w:val="28"/>
        </w:rPr>
      </w:pPr>
      <w:r>
        <w:rPr/>
      </w:r>
    </w:p>
    <w:p>
      <w:pPr>
        <w:pStyle w:val="Normal1"/>
        <w:jc w:val="right"/>
        <w:rPr>
          <w:rFonts w:ascii="Times New Roman" w:hAnsi="Times New Roman" w:eastAsia="Times New Roman" w:cs="Times New Roman"/>
          <w:sz w:val="28"/>
          <w:szCs w:val="28"/>
        </w:rPr>
      </w:pPr>
      <w:bookmarkStart w:id="0" w:name="__DdeLink__1247_1514091141"/>
      <w:r>
        <w:rPr>
          <w:rFonts w:eastAsia="Times New Roman" w:cs="Times New Roman" w:ascii="Times New Roman" w:hAnsi="Times New Roman"/>
          <w:sz w:val="28"/>
          <w:szCs w:val="28"/>
        </w:rPr>
        <w:t>Продолжение таблицы 1.</w:t>
      </w:r>
      <w:bookmarkEnd w:id="0"/>
    </w:p>
    <w:tbl>
      <w:tblPr>
        <w:tblStyle w:val="Table2"/>
        <w:tblW w:w="9029" w:type="dxa"/>
        <w:jc w:val="left"/>
        <w:tblInd w:w="0" w:type="dxa"/>
        <w:tblCellMar>
          <w:top w:w="100" w:type="dxa"/>
          <w:left w:w="10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Многолетние насаждения</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148.0</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61.8</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41.7</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Залежь</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3 681.7</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1 902.8</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51.7</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Сенокосы, всего</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4 4885.0</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2 292.1</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44.9</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том числе:</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улучшенные</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41.2</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15.1</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36.6</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лиманного орошения</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711.2</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320.4</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45.0</w:t>
            </w:r>
          </w:p>
        </w:tc>
      </w:tr>
      <w:tr>
        <w:trPr>
          <w:trHeight w:val="838" w:hRule="atLeast"/>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Пастбища, всего</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178 816.6</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80 594.6</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43.8</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в том числе:</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улучшенные</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5 698.9</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4 012.1</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70.4</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обводненные</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102 429.6</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48.494,2</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46.9</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Несельскохозяйственные угодья</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48 738.9</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2 989.6</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5.6</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Игого</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262 930.8</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113 961.4</w:t>
            </w:r>
          </w:p>
        </w:tc>
        <w:tc>
          <w:tcPr>
            <w:tcW w:w="2257" w:type="dxa"/>
            <w:tcBorders>
              <w:top w:val="single" w:sz="8" w:space="0" w:color="000000"/>
              <w:left w:val="single" w:sz="8" w:space="0" w:color="000000"/>
              <w:bottom w:val="single" w:sz="8" w:space="0" w:color="000000"/>
              <w:right w:val="single" w:sz="8" w:space="0" w:color="000000"/>
            </w:tcBorders>
            <w:shd w:fill="auto" w:val="clear"/>
            <w:vAlign w:val="bottom"/>
          </w:tcPr>
          <w:p>
            <w:pPr>
              <w:pStyle w:val="Normal1"/>
              <w:widowControl w:val="false"/>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43.3</w:t>
            </w:r>
          </w:p>
        </w:tc>
      </w:tr>
    </w:tbl>
    <w:p>
      <w:pPr>
        <w:pStyle w:val="Normal1"/>
        <w:rPr>
          <w:rFonts w:ascii="Times New Roman" w:hAnsi="Times New Roman" w:eastAsia="Times New Roman" w:cs="Times New Roman"/>
          <w:sz w:val="28"/>
          <w:szCs w:val="28"/>
        </w:rPr>
      </w:pPr>
      <w:r>
        <w:rPr>
          <w:rFonts w:eastAsia="Times New Roman" w:cs="Times New Roman" w:ascii="Times New Roman" w:hAnsi="Times New Roman"/>
          <w:b/>
          <w:sz w:val="28"/>
          <w:szCs w:val="28"/>
        </w:rPr>
        <w:t>Примечание.</w:t>
      </w:r>
      <w:r>
        <w:rPr>
          <w:rFonts w:eastAsia="Times New Roman" w:cs="Times New Roman" w:ascii="Times New Roman" w:hAnsi="Times New Roman"/>
          <w:sz w:val="28"/>
          <w:szCs w:val="28"/>
        </w:rPr>
        <w:t xml:space="preserve"> * По строке «Итого», без земель, используемых другими государствами.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Существующие научные работы утверждают что, </w:t>
      </w:r>
      <w:r>
        <w:rPr>
          <w:rFonts w:eastAsia="Times New Roman" w:cs="Times New Roman" w:ascii="Times New Roman" w:hAnsi="Times New Roman"/>
          <w:b/>
          <w:sz w:val="28"/>
          <w:szCs w:val="28"/>
        </w:rPr>
        <w:t>основными факторами снижения плодородия</w:t>
      </w:r>
      <w:r>
        <w:rPr>
          <w:rFonts w:eastAsia="Times New Roman" w:cs="Times New Roman" w:ascii="Times New Roman" w:hAnsi="Times New Roman"/>
          <w:sz w:val="28"/>
          <w:szCs w:val="28"/>
        </w:rPr>
        <w:t xml:space="preserve"> почв пахотных угодий являются неправильное использование земель и отсутствие использования минеральных и органических удобрений, а также несоблюдение севооборота и агротехнических мероприятий[35]. В результате несоблюдения указанных агротехнологических мер </w:t>
      </w:r>
      <w:r>
        <w:rPr>
          <w:rFonts w:eastAsia="Times New Roman" w:cs="Times New Roman" w:ascii="Times New Roman" w:hAnsi="Times New Roman"/>
          <w:b/>
          <w:sz w:val="28"/>
          <w:szCs w:val="28"/>
        </w:rPr>
        <w:t>21,7 млн га.</w:t>
      </w:r>
      <w:r>
        <w:rPr>
          <w:rFonts w:eastAsia="Times New Roman" w:cs="Times New Roman" w:ascii="Times New Roman" w:hAnsi="Times New Roman"/>
          <w:sz w:val="28"/>
          <w:szCs w:val="28"/>
        </w:rPr>
        <w:t xml:space="preserve"> пастбищных земель притервевают процесс постепенной деградации [64]. Деградация пастбищ происходит в том случае, когда антропогенный фактор воздействия на них </w:t>
      </w:r>
      <w:r>
        <w:rPr>
          <w:rFonts w:eastAsia="Times New Roman" w:cs="Times New Roman" w:ascii="Times New Roman" w:hAnsi="Times New Roman"/>
          <w:b/>
          <w:sz w:val="28"/>
          <w:szCs w:val="28"/>
        </w:rPr>
        <w:t>превысил порог способности к самовосстановлению</w:t>
      </w:r>
      <w:r>
        <w:rPr>
          <w:rFonts w:eastAsia="Times New Roman" w:cs="Times New Roman" w:ascii="Times New Roman" w:hAnsi="Times New Roman"/>
          <w:sz w:val="28"/>
          <w:szCs w:val="28"/>
        </w:rPr>
        <w:t xml:space="preserve">. Нарушенные экосистемы необходимо восстанавливать путем проведения мероприятий по улучшению этих угодий (подсев трав или перезалужение с посевом многолетних трав, введение пастбищеоборотов и т. д.). </w:t>
      </w:r>
      <w:r>
        <w:rPr>
          <w:rFonts w:eastAsia="Times New Roman" w:cs="Times New Roman" w:ascii="Times New Roman" w:hAnsi="Times New Roman"/>
          <w:b/>
          <w:sz w:val="28"/>
          <w:szCs w:val="28"/>
        </w:rPr>
        <w:t>Нерегулируемый выпас скота</w:t>
      </w:r>
      <w:r>
        <w:rPr>
          <w:rFonts w:eastAsia="Times New Roman" w:cs="Times New Roman" w:ascii="Times New Roman" w:hAnsi="Times New Roman"/>
          <w:sz w:val="28"/>
          <w:szCs w:val="28"/>
        </w:rPr>
        <w:t xml:space="preserve"> (чрезмерная нагрузка), вырубка кустарниковой растительности, беспорядочное движение автотранспорта вне дорог способствуют интенсификации дефляционных процессов, которые изменяют структурный состав, объемную массу и содержание гумуса, обуславливая деградацию почв с потерей плодородия[63].</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 данных работах обращается особое внимание на применение геоинформационных систем и технологии для осуществленние мониторинга целевого землепользования сельскохозяйственных угодии и выявления основных параметров биомассы пастбища.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того, соблюдение ротации пастбищных земель или загоннопорционная пастьба с применением прогрессивных агротехнологических решении является приоритетным направлением для обеспечения устойчивого развития агропромышенного комплекса Республики Казахстан[64]. Некоторые проведенные научные работы [35] акцентируют особое внимание на применение отгонно-пастбищной системы выпаса скота и применение экологически-чистых технологий производства и принципов умного и зеленого земледелия.</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Таким образом, возникает необходимость внедрения современных технологических решении способствующие рациональному землепользованию, ведению скотоводства и обеспечению устройчивого развития агропромышленного комплекса в целом. Также стоит отметить отсутствие </w:t>
      </w:r>
      <w:r>
        <w:rPr>
          <w:rFonts w:eastAsia="Times New Roman" w:cs="Times New Roman" w:ascii="Times New Roman" w:hAnsi="Times New Roman"/>
          <w:b/>
          <w:sz w:val="28"/>
          <w:szCs w:val="28"/>
        </w:rPr>
        <w:t>интеллектуальных систем поддержки принятия</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агротехнологических </w:t>
      </w:r>
      <w:r>
        <w:rPr>
          <w:rFonts w:eastAsia="Times New Roman" w:cs="Times New Roman" w:ascii="Times New Roman" w:hAnsi="Times New Roman"/>
          <w:b/>
          <w:sz w:val="28"/>
          <w:szCs w:val="28"/>
        </w:rPr>
        <w:t>решений</w:t>
      </w:r>
      <w:r>
        <w:rPr>
          <w:rFonts w:eastAsia="Times New Roman" w:cs="Times New Roman" w:ascii="Times New Roman" w:hAnsi="Times New Roman"/>
          <w:sz w:val="28"/>
          <w:szCs w:val="28"/>
        </w:rPr>
        <w:t>.</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1.2 Применение технологии дистанционного зондирования земли для оценки биомассы пастбища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Развитие методов безконтактной диагностики состояния пастбищ и посевов создает необходимость разработки не только теоретических, но и новых методических и технических подходов к реализации полевых экспериментов, а так же программно-аппаратной базы для мониторинга почвенно-растительного комплекса на основе геоинформационных</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 Дистанционный мониторинг и зондирование земли не только даёт возможность улучшить сбор сельскохозяйственной статистики, повышая точность, однородность, объективность и частоту наблюдений, но и позволяет существенно улучшить варианты своевременного контроля за состоянием посевов и прогноза урожая. Так как, данные дистанционного мониторинга являются неконтактной информацией, то для правильного понимания полученных данных с ДДЗ требуется использовать для сравнения данные контактных наземных наблюдений за состоянием посевов.</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Разработка прогрессивных методических подходов по применению современных цифровых технологий дистанционного зондирования земли и мониторинга, позволяют решать разного рода вызовы по восстановлению биоресурса почвы и пастбищ для животных. Разработка инструментариев для массовой оценки состояния пастбища является важным шагом для оптимизации работ по установлению ресурса пастбища и снижению трудоемкости данных мероприятии.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Согласно цифровой платформе для бизнеса “QOLDAU” (Қолдау) 60,6 млн гектар пастбищ или 80,2% от общей площади были оцифрованы с помощью сервиса “SuperVision Technology” для цифрового мониторинга земель. Данный сервис был разработан в рамках исполнения поручений Главы государства К.К. Токаева по внедрению цифрового мониторинга и контроля за рациональным использованием земель сельскохозяйственного назначения.</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Настоящая диссертационноая работа проводит анализ существующих статей с целью выведения основных направлении и существующих методик  в сфере применения технолонии дистанционного зондирование земли для менеджмента ресурса пастбища Проведенный ниже статейный анализ позволяет выделить наиболее близкие по свему содержанию и затрагивающие научно-техническую проблему данной работы на основе которого будут выведены новые решения в данной диссертационной работе.</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Рассмотренные в данном литературном обзоре статьи можно подразделить по следующим проблемам:</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 Эфекктивность использования данных технологии [28-33].</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Выведение основных факторов влияния на ресурс пастбища, а также предложения рекомендации (методов) по решению основных проблемных зон [37, 47, 72].</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Рассмотрение эффективности применеия технологии контроля выпса скота с применением виртуальных изгородей [39-41].</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Проведение оценки состояния растительного покрова (многолетнего травостоя) с помощью космических снимков с использованием вегетационного индекса NDVI [42-46, 48, 52-55, 58, 73].</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Проверить наземные и воздушные платформы для неразрушающего высокопроизводительного фенотипирования биомассы и их потенциал для замены традиционной визуальной оценки [49, 50, 59]. </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Установление базовых фенологических показателей [61, 62]. Сравнительный анализ и актуальность применения ДЗЗ для оценки биомассы растительности [34, 38]. </w:t>
      </w:r>
    </w:p>
    <w:p>
      <w:pPr>
        <w:pStyle w:val="Normal1"/>
        <w:numPr>
          <w:ilvl w:val="0"/>
          <w:numId w:val="4"/>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Методы классификации с применением машинного обучения и ДЗЗ для определения качества растительного покрова [56, 57, 60]. </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подробный анализ рассмотренных статей приведен в таблице 2.</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2. – Подробрый анализ рассмотренных статей.</w:t>
      </w:r>
    </w:p>
    <w:tbl>
      <w:tblPr>
        <w:tblStyle w:val="Table3"/>
        <w:tblW w:w="9015" w:type="dxa"/>
        <w:jc w:val="left"/>
        <w:tblInd w:w="0" w:type="dxa"/>
        <w:tblCellMar>
          <w:top w:w="100" w:type="dxa"/>
          <w:left w:w="100" w:type="dxa"/>
          <w:bottom w:w="100" w:type="dxa"/>
          <w:right w:w="100" w:type="dxa"/>
        </w:tblCellMar>
        <w:tblLook w:val="0600"/>
      </w:tblPr>
      <w:tblGrid>
        <w:gridCol w:w="2969"/>
        <w:gridCol w:w="780"/>
        <w:gridCol w:w="5266"/>
      </w:tblGrid>
      <w:tr>
        <w:trPr/>
        <w:tc>
          <w:tcPr>
            <w:tcW w:w="29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Рассмотренная проблема</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Статья</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Заключение по статье</w:t>
            </w:r>
          </w:p>
        </w:tc>
      </w:tr>
      <w:tr>
        <w:trPr>
          <w:trHeight w:val="480" w:hRule="atLeast"/>
        </w:trPr>
        <w:tc>
          <w:tcPr>
            <w:tcW w:w="29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Вред и польза использования эектрических и виртуальных изгородей для контроля выпаса скота</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[28]</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Нет доказательств негативного влияния виртуального ограждения на поведение животных</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[29]</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Виртуальный ошейник с высокой эффективностью сдерживает животных в пределах пастбища</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[30]</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Успешное применение виртуальной системы ограждения для удержания стада </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[31]</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Виртуальная изгородь успешно сдерживала стадо.Быстрое привыкание. Заметен стресс </w:t>
            </w:r>
          </w:p>
        </w:tc>
      </w:tr>
    </w:tbl>
    <w:p>
      <w:pPr>
        <w:pStyle w:val="Normal1"/>
        <w:jc w:val="right"/>
        <w:rPr/>
      </w:pPr>
      <w:r>
        <w:rPr>
          <w:rFonts w:eastAsia="Times New Roman" w:cs="Times New Roman" w:ascii="Times New Roman" w:hAnsi="Times New Roman"/>
          <w:sz w:val="28"/>
          <w:szCs w:val="28"/>
        </w:rPr>
        <w:t xml:space="preserve">Продолжение таблицы </w:t>
      </w:r>
      <w:r>
        <w:rPr>
          <w:rFonts w:eastAsia="Times New Roman" w:cs="Times New Roman" w:ascii="Times New Roman" w:hAnsi="Times New Roman"/>
          <w:sz w:val="28"/>
          <w:szCs w:val="28"/>
        </w:rPr>
        <w:t>2</w:t>
      </w:r>
      <w:r>
        <w:rPr>
          <w:rFonts w:eastAsia="Times New Roman" w:cs="Times New Roman" w:ascii="Times New Roman" w:hAnsi="Times New Roman"/>
          <w:sz w:val="28"/>
          <w:szCs w:val="28"/>
        </w:rPr>
        <w:t>.</w:t>
      </w:r>
    </w:p>
    <w:tbl>
      <w:tblPr>
        <w:tblStyle w:val="Table3"/>
        <w:tblW w:w="9015" w:type="dxa"/>
        <w:jc w:val="left"/>
        <w:tblInd w:w="0" w:type="dxa"/>
        <w:tblCellMar>
          <w:top w:w="100" w:type="dxa"/>
          <w:left w:w="100" w:type="dxa"/>
          <w:bottom w:w="100" w:type="dxa"/>
          <w:right w:w="100" w:type="dxa"/>
        </w:tblCellMar>
        <w:tblLook w:val="0600"/>
      </w:tblPr>
      <w:tblGrid>
        <w:gridCol w:w="2969"/>
        <w:gridCol w:w="780"/>
        <w:gridCol w:w="5266"/>
      </w:tblGrid>
      <w:tr>
        <w:trPr>
          <w:trHeight w:val="480" w:hRule="atLeast"/>
        </w:trPr>
        <w:tc>
          <w:tcPr>
            <w:tcW w:w="29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[32]</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Технология виртуального ограждения эффективно удерживает животных на установленной территории</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[33]</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Виртуальное ограждение не влияет на нормальное пастбищное поведение овец</w:t>
            </w:r>
          </w:p>
        </w:tc>
      </w:tr>
      <w:tr>
        <w:trPr>
          <w:trHeight w:val="480" w:hRule="atLeast"/>
        </w:trPr>
        <w:tc>
          <w:tcPr>
            <w:tcW w:w="29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Выведение основных факторов влияния на ресурс пастбища</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[37]</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Представлены несколько подходов к использованию геопространственных данных</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[47]</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Изменение климата является наиболее важной движущей силой изменения растительности</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[72]</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Индекс NDVI и его накапливаемая сумма в полном мере являются достаточными признаками для оценки и прогнозирования основных показателей пастбища.</w:t>
            </w:r>
          </w:p>
        </w:tc>
      </w:tr>
      <w:tr>
        <w:trPr>
          <w:trHeight w:val="480" w:hRule="atLeast"/>
        </w:trPr>
        <w:tc>
          <w:tcPr>
            <w:tcW w:w="29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Рассмотрение эффективности применеия технологии контроля выпса скота с применением виртуальных изгородей</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[39]</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Высокий уровень обучаемости овец в рамках экперимента. Редкое нарушении границ</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[40]</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Виртуальная изгородь была эффективно предотвращала проникновение овец в зону</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[41]</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Наиболее удачная конструкция пастьбы скота было заднее ограждение, следовающее за животными</w:t>
            </w:r>
          </w:p>
        </w:tc>
      </w:tr>
      <w:tr>
        <w:trPr>
          <w:trHeight w:val="480" w:hRule="atLeast"/>
        </w:trPr>
        <w:tc>
          <w:tcPr>
            <w:tcW w:w="29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Проведение оценки состояния растительного покрова с помощью ДЗЗ снимков с использованием вегетационного индекса NDVI</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[42]</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При уменьшении пастбищной нарушенности увеличивается доля серого фона и снижается NDVI</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[43]</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Значения NDVI не могут в быть критерием деградированности природных травостоев.</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[44]</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Значения NDVI не могут быть критерием деградированности природных травостоев</w:t>
            </w:r>
          </w:p>
        </w:tc>
      </w:tr>
    </w:tbl>
    <w:p>
      <w:pPr>
        <w:pStyle w:val="Normal1"/>
        <w:jc w:val="right"/>
        <w:rPr/>
      </w:pPr>
      <w:r>
        <w:rPr>
          <w:rFonts w:eastAsia="Times New Roman" w:cs="Times New Roman" w:ascii="Times New Roman" w:hAnsi="Times New Roman"/>
          <w:sz w:val="28"/>
          <w:szCs w:val="28"/>
        </w:rPr>
        <w:t xml:space="preserve">Продолжение таблицы </w:t>
      </w:r>
      <w:r>
        <w:rPr>
          <w:rFonts w:eastAsia="Times New Roman" w:cs="Times New Roman" w:ascii="Times New Roman" w:hAnsi="Times New Roman"/>
          <w:sz w:val="28"/>
          <w:szCs w:val="28"/>
        </w:rPr>
        <w:t>2</w:t>
      </w:r>
      <w:r>
        <w:rPr>
          <w:rFonts w:eastAsia="Times New Roman" w:cs="Times New Roman" w:ascii="Times New Roman" w:hAnsi="Times New Roman"/>
          <w:sz w:val="28"/>
          <w:szCs w:val="28"/>
        </w:rPr>
        <w:t>.</w:t>
      </w:r>
    </w:p>
    <w:tbl>
      <w:tblPr>
        <w:tblStyle w:val="Table3"/>
        <w:tblW w:w="9015" w:type="dxa"/>
        <w:jc w:val="left"/>
        <w:tblInd w:w="0" w:type="dxa"/>
        <w:tblCellMar>
          <w:top w:w="100" w:type="dxa"/>
          <w:left w:w="100" w:type="dxa"/>
          <w:bottom w:w="100" w:type="dxa"/>
          <w:right w:w="100" w:type="dxa"/>
        </w:tblCellMar>
        <w:tblLook w:val="0600"/>
      </w:tblPr>
      <w:tblGrid>
        <w:gridCol w:w="2969"/>
        <w:gridCol w:w="780"/>
        <w:gridCol w:w="5266"/>
      </w:tblGrid>
      <w:tr>
        <w:trPr>
          <w:trHeight w:val="480" w:hRule="atLeast"/>
        </w:trPr>
        <w:tc>
          <w:tcPr>
            <w:tcW w:w="29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[45]</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Наблюдение за изменением вегетационного индекса выявляет неравномерность его распределения</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[46]</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Различные вегетационные индексы позволяют использовать наиболее приемлемый</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[48]</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показали различия в травостое, обусловленные различиями в количестве осадков</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[52]</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свидетельствуют</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 снижении продуктивности на пастбищах</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[53]</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показывают, что модель HASM достигла лучших результатов, чем модели RF и SVM</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[54]</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показывают, что было подтверждено, что шесть оценочных показателей</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[55]</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Модели были способны успешно обнаруживать биомассы бледных лишайников</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[58]</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RMSE соответствует точности, необходимой для мониторинга продуктивности </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[73]</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Наличие сорной растительности в посевах зерновых культур не позволяет корректно оценивать состояние посевов </w:t>
            </w:r>
          </w:p>
        </w:tc>
      </w:tr>
      <w:tr>
        <w:trPr>
          <w:trHeight w:val="480" w:hRule="atLeast"/>
        </w:trPr>
        <w:tc>
          <w:tcPr>
            <w:tcW w:w="29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Проверить наземные и воздушные неразрушающие методы фенотипирования биомассы и потенциал замены традиционной  визуальной оценки</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[49]</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Наблюдались значительные корреляции</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между визуальной оценкой и значениями NDVI</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[50]</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Прогноз травостоя зависит от мультипликативной комбинации NDVI и высоты растений</w:t>
            </w:r>
          </w:p>
        </w:tc>
      </w:tr>
    </w:tbl>
    <w:p>
      <w:pPr>
        <w:pStyle w:val="Normal1"/>
        <w:jc w:val="right"/>
        <w:rPr/>
      </w:pPr>
      <w:r>
        <w:rPr>
          <w:rFonts w:eastAsia="Times New Roman" w:cs="Times New Roman" w:ascii="Times New Roman" w:hAnsi="Times New Roman"/>
          <w:sz w:val="28"/>
          <w:szCs w:val="28"/>
        </w:rPr>
        <w:t xml:space="preserve">Продолжение таблицы </w:t>
      </w:r>
      <w:r>
        <w:rPr>
          <w:rFonts w:eastAsia="Times New Roman" w:cs="Times New Roman" w:ascii="Times New Roman" w:hAnsi="Times New Roman"/>
          <w:sz w:val="28"/>
          <w:szCs w:val="28"/>
        </w:rPr>
        <w:t>2</w:t>
      </w:r>
      <w:r>
        <w:rPr>
          <w:rFonts w:eastAsia="Times New Roman" w:cs="Times New Roman" w:ascii="Times New Roman" w:hAnsi="Times New Roman"/>
          <w:sz w:val="28"/>
          <w:szCs w:val="28"/>
        </w:rPr>
        <w:t>.</w:t>
      </w:r>
    </w:p>
    <w:tbl>
      <w:tblPr>
        <w:tblStyle w:val="Table3"/>
        <w:tblW w:w="9015" w:type="dxa"/>
        <w:jc w:val="left"/>
        <w:tblInd w:w="0" w:type="dxa"/>
        <w:tblCellMar>
          <w:top w:w="100" w:type="dxa"/>
          <w:left w:w="100" w:type="dxa"/>
          <w:bottom w:w="100" w:type="dxa"/>
          <w:right w:w="100" w:type="dxa"/>
        </w:tblCellMar>
        <w:tblLook w:val="0600"/>
      </w:tblPr>
      <w:tblGrid>
        <w:gridCol w:w="2969"/>
        <w:gridCol w:w="780"/>
        <w:gridCol w:w="5266"/>
      </w:tblGrid>
      <w:tr>
        <w:trPr>
          <w:trHeight w:val="480" w:hRule="atLeast"/>
        </w:trPr>
        <w:tc>
          <w:tcPr>
            <w:tcW w:w="29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[59]</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Fonts w:eastAsia="Times New Roman" w:cs="Times New Roman" w:ascii="Times New Roman" w:hAnsi="Times New Roman"/>
                <w:sz w:val="28"/>
                <w:szCs w:val="28"/>
              </w:rPr>
              <w:t>Некоторые растения недостаточно</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учитываются сезонными показателями NDVI</w:t>
            </w:r>
          </w:p>
        </w:tc>
      </w:tr>
      <w:tr>
        <w:trPr>
          <w:trHeight w:val="480" w:hRule="atLeast"/>
        </w:trPr>
        <w:tc>
          <w:tcPr>
            <w:tcW w:w="29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Установление базовых фенологических показателей</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[61]</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Регрессионная модель NDVI объясняли 81%</w:t>
            </w:r>
          </w:p>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сезонных колебаний расстояния прох. КРС</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[62]</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Дистанционное зондирование и наземная наука могут работать в координации</w:t>
            </w:r>
          </w:p>
        </w:tc>
      </w:tr>
      <w:tr>
        <w:trPr>
          <w:trHeight w:val="480" w:hRule="atLeast"/>
        </w:trPr>
        <w:tc>
          <w:tcPr>
            <w:tcW w:w="29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Методы классификации с применением машинного обучения и ДЗЗ для определения качества растительного покрова</w:t>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[56]</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Результаты показали, что комбинация входных характеристик улучшает точность определения.</w:t>
            </w:r>
          </w:p>
        </w:tc>
      </w:tr>
      <w:tr>
        <w:trPr>
          <w:trHeight w:val="480" w:hRule="atLeast"/>
        </w:trPr>
        <w:tc>
          <w:tcPr>
            <w:tcW w:w="29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7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[57]</w:t>
            </w:r>
          </w:p>
        </w:tc>
        <w:tc>
          <w:tcPr>
            <w:tcW w:w="52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Предложенный метод позволяет добиться значительного прогресса в повышении точности</w:t>
            </w:r>
          </w:p>
        </w:tc>
      </w:tr>
    </w:tbl>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sz w:val="28"/>
          <w:szCs w:val="28"/>
        </w:rPr>
        <w:t>Вышеперечисленный анализ статей позволяет сделать вывод о том, что разработка модели принятия решении с применением технологии дистанционного зондирования земли вкупе с методами машинного обучения на базе веб-портала при правильном подборе ключевых параметров рассматриваемой системы может дать положительные результатаы при определении биомассы пастбища.</w:t>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b/>
          <w:sz w:val="28"/>
          <w:szCs w:val="28"/>
        </w:rPr>
        <w:t>1.3 Технические решения для рационального использования ресурсов пастбища</w:t>
      </w:r>
      <w:r>
        <w:rPr>
          <w:rFonts w:eastAsia="Times New Roman" w:cs="Times New Roman" w:ascii="Times New Roman" w:hAnsi="Times New Roman"/>
          <w:sz w:val="28"/>
          <w:szCs w:val="28"/>
        </w:rPr>
        <w:t xml:space="preserve"> </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Применявшаяся в прошлые годы бессистемная, вольная пастьба животных как с хозяйственной, так и с санитарно-гигиенической точек зрения является совершенно неприемлемой. При вольной пастьбе нельзя получить высоких удоев и привесов животных. Последние поедают только наиболее ценные в кормовом отношении травы и не дают им правильно расти и развиваться. Малосъедобные же сорные травы не поедаются, а потому быстро размножаются и вытесняют из травостоя ценные травы, в результате чего пастбище приходит в негодное состояние. Большое количество травы при вольной пастьбе затаптывается животными и пропадает без пользы.</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Кроме того, такая пастьба создает условия для распространения инвазионных и инфекционных заболеваний среди животных. Для наиболее эффективного использования пастбищ и борьбы с некоторыми болезнями рекомендуют систему загонной пастьбы, при которой все закрепленные за отдельными стадами, гуртами и отарами пастбищные участки разбиваются на более мелкие загоны или клетки; их стравливают в определенной последовательности или очередности.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 отличие от вольной пастьбы загонная система</w:t>
      </w:r>
      <w:r>
        <w:rPr>
          <w:rFonts w:eastAsia="Times New Roman" w:cs="Times New Roman" w:ascii="Times New Roman" w:hAnsi="Times New Roman"/>
          <w:b/>
          <w:sz w:val="28"/>
          <w:szCs w:val="28"/>
        </w:rPr>
        <w:t xml:space="preserve"> обеспечивает высокие урожаи пастбищной травы, сокращает потребность в пастбищной площади и резко повышает продуктивность животных</w:t>
      </w:r>
      <w:r>
        <w:rPr>
          <w:rFonts w:eastAsia="Times New Roman" w:cs="Times New Roman" w:ascii="Times New Roman" w:hAnsi="Times New Roman"/>
          <w:sz w:val="28"/>
          <w:szCs w:val="28"/>
        </w:rPr>
        <w:t>. Животные равномерно получают зеленый корм в течение всего пастбищного периода и дают наибольшее количество продуктов в расчете на гектар пастбища. Число загонов зависит от величины пастбища, состояния травостои, состава гурта, стада или отары. Минимально их должно быть 6—8.</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Большие пастбищные участки в лесной зоне рекомендуют делить на 10—12 загонов, в лесостепной на 12—20 и в степной зоне на 20—30. Каждый загон стравливают за лето в лесной зоне 3—5 раз, в лесостепной 2—4 раза, в степи 2—3 раза и в полупустыне 1—2 раза. Величину загона предусматривают такой, чтобы животные не мешали друг другу и чтобы корма им хватило на 5—6 дней. Границы загонов огораживают или отмечают знаками-вехами; для этого используют также естественные границы—дороги, овраги, речки, ручьи и т. п. Загоны следует располагать так, чтобы животные имели выход с них на прогоны, к водопою, стойбищу или лагерю.</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Загонная пастьба позволяет успешно вести </w:t>
      </w:r>
      <w:r>
        <w:rPr>
          <w:rFonts w:eastAsia="Times New Roman" w:cs="Times New Roman" w:ascii="Times New Roman" w:hAnsi="Times New Roman"/>
          <w:b/>
          <w:sz w:val="28"/>
          <w:szCs w:val="28"/>
        </w:rPr>
        <w:t>борьбу с инвазионными болезнями животных</w:t>
      </w:r>
      <w:r>
        <w:rPr>
          <w:rFonts w:eastAsia="Times New Roman" w:cs="Times New Roman" w:ascii="Times New Roman" w:hAnsi="Times New Roman"/>
          <w:sz w:val="28"/>
          <w:szCs w:val="28"/>
        </w:rPr>
        <w:t>, в частности с диктиокаулезом (легочно-глистная болезнь) овец и телят, с гемонхозом (сычужно-глистная болезнь) жвачных, с аскаридозом свиней, параскаридозом лошадей, амидостоматозом гусей и др. Этот профилактический метод борьбы с инвазионными болезнями, заражение которыми происходит па пастбище, называется биологической дегельминтизацией пастбищ (акад, К. П. Скрябин).</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Метод основан на том, что выделенные с калом яйца или личинки паразитических червей способны заражать животных не ранее чем через 8—10 дней после попадания их во внешнюю среду. Отсюда продолжительность выпасания на одном загоне, где распространены эти заболевания, должна ограничиваться 5—6 днями, так как за этот срок яйца или личинки гельминтов еще не достигают стадии, способной заразить. С момента созревания личинок последние могут сохранять способность к заражению в течение 3—6 месяцев в южных районах и в течение года в северных, поэтому нельзя допускать повторного использования зараженных загонов раньше указанных сроков (однако эти загоны могут быть пригодны для пастьбы животных других видов или для сенокоса).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Одновременно следует менять места стойбищ и тырл на пастбище. Смена пастбищ является также эффективной мерой в борьбе с клещами (Ixodes ricinus, Dermacentor reticulatum, Boofilus и др.) — переносчиками пироплазмоза крупного рогатого скота л лошадей. Очистка пастбищ от переносчиков пироплазмозов основана на том, что клещи на животных находятся 21 — 24 дня, а их личинки живут без питания не более 7 месяцев. Следовательно, если животных в течение 7—8 месяцев не выпасать на зараженных клещами пастбищах, то клещи погибают.</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При переводе с одного участка на другой животных пропускают через ванны с раствором акарицида, чтобы освободить их от присосавшихся к коже клещей.</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Загонная пастьба животных дает также возможность в случаях появления инфекционных заболеваний в пастбищный период легче организовать борьбу с ними. После изоляции больных и подозрительных по заболеванию животных, а также исключения из плана дальнейшего использования пастбища одного или нескольких зараженных загонов инфекция не распространяется (купируется) и па общем ходе пастбищного содержания почти не отражается.</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После использования загонов и перевода животных на следующий загон следует подкашивать нестравленные остатки травостоя на высоте 6—7 см от поверхности земли. Затем необходимо разравнивать и разбрасывать оставшийся после животных кал, иначе он будет плохо обеззараживаться солнечными лучами от возбудителей инфекционных и инвазионных заболеваний[69].</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Для каждого вида животных отводят и закрепляют пастбища с учетом особенностей этих животных. Для крупного рогатого скота, который сощипывает растения на высоте </w:t>
      </w:r>
      <w:r>
        <w:rPr>
          <w:rFonts w:eastAsia="Times New Roman" w:cs="Times New Roman" w:ascii="Times New Roman" w:hAnsi="Times New Roman"/>
          <w:b/>
          <w:sz w:val="28"/>
          <w:szCs w:val="28"/>
        </w:rPr>
        <w:t>3-5 см</w:t>
      </w:r>
      <w:r>
        <w:rPr>
          <w:rFonts w:eastAsia="Times New Roman" w:cs="Times New Roman" w:ascii="Times New Roman" w:hAnsi="Times New Roman"/>
          <w:sz w:val="28"/>
          <w:szCs w:val="28"/>
        </w:rPr>
        <w:t>, предпочтителен густой, сочный травостой, с преобладанием злаков и бобовых растений. Плохо или совсем не поедаются им растения с горьким вкусом, резким запахом, высокозольные, колючие и опушенные. Для этой категории животных следует выделять сеяные, улучшенные и умеренно-влажные естественные пастбища. В горных районах пастбища размещают в нижних поясах, так как на очень высоких горных пастбищах (альпийского пояса) молочная продуктивность коров снижается. Наиболее требовательны к типу пастбищ телята до 5-мес. возраста и коровы, менее требовательны - взрослый нагульный скот и молодняк старшего возраста[70].</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b/>
          <w:sz w:val="28"/>
          <w:szCs w:val="28"/>
        </w:rPr>
        <w:t>Загоннопорционная пастьба</w:t>
      </w:r>
      <w:r>
        <w:rPr>
          <w:rFonts w:eastAsia="Times New Roman" w:cs="Times New Roman" w:ascii="Times New Roman" w:hAnsi="Times New Roman"/>
          <w:sz w:val="28"/>
          <w:szCs w:val="28"/>
        </w:rPr>
        <w:t xml:space="preserve"> — это основное звено рационального использования пастбищ. Система предусматривает деление пастбищного участка на загоны, травостой которых стравливают скоту по очереди.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Сначала скот пасут в первом загоне, а когда растительность будет стравлена, перегоняют во второй, третий и так до тех пор, пока не будут использованы все загоны, после чего скот снова переводят в первый загон. Второй цикл стравливания начинают в порядке очередности загонов.</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Многочисленные опыты и практика выявили </w:t>
      </w:r>
      <w:r>
        <w:rPr>
          <w:rFonts w:eastAsia="Times New Roman" w:cs="Times New Roman" w:ascii="Times New Roman" w:hAnsi="Times New Roman"/>
          <w:b/>
          <w:sz w:val="28"/>
          <w:szCs w:val="28"/>
        </w:rPr>
        <w:t>более высокую продуктивность пастбищ при загонном выпасе</w:t>
      </w:r>
      <w:r>
        <w:rPr>
          <w:rFonts w:eastAsia="Times New Roman" w:cs="Times New Roman" w:ascii="Times New Roman" w:hAnsi="Times New Roman"/>
          <w:sz w:val="28"/>
          <w:szCs w:val="28"/>
        </w:rPr>
        <w:t xml:space="preserve"> по сравнению с бессистемным, установили возможность прокормить на одном и том же участке больше скота, значительно повысив его продуктивность.</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При загонном использовании пастбищ можно организовать выпас скота с таким расчетом, чтобы животные каждый раз имели в загоне достаточное количество (порцию) свежей зеленой травы. При этом способе пастьбы более равномерно стравливается и полнее используется пастбищный корм, сокращается излишнее передвижение скота по участку, создаются условия для «отдыха» загона после стравливания, благодаря чему растения могут дать хорошую отаву.</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Опытами ВИК установлено, что при загонной системе пастьбы крупного рогатого скота на злаковых пастбищах количество зеленого корма увеличивается на 24 %, а переваримого белка — на 54 %. Благодаря более полному стравливанию пастбищных участков и скашиванию несъеденных остатков травостоя уменьшается обсеменение сорных, вредных и ядовитых трав. При разделении пастбища на восемь загонов можно на одной и той же площади прокормить на 25…30 % животных больше, чем при вольной пастьбе. К тому же значительно повышается продуктивность животных, так как этот способ выпаса позволяет систематически стравливать травы в ранней фазе вегетации, вследствие чего увеличиваются их питательная ценность и поедаемость.</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 хозяйстве «Молочное» Вологодской области при вольной пастьбе на одну корову приходится 1 га, тогда как при загонной системе пастьбы — 0,4 га. При загонной системе использования пастбищ удои коров в пастбищный период повышаются в среднем на 15…25%, а приросты живой массы молодняка — на 25…30 % по сравнению с бессистемной пастьбой.</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Загонно-порционная система использования пастбищ особенно эффективна при стравливании высокоурожайного или переросшего травостоя. В этом случае выделяется часть загона шириной всего несколько метров так, чтобы гурт растягивался в шеренгу. Следует отметить, что коровы и овцы, являясь стадными животными, комфортней себя ощущают при определенной плотности гурта или отары (фронт кормления на одну корову 1,5…2 м). </w:t>
      </w:r>
      <w:r>
        <w:rPr>
          <w:rFonts w:eastAsia="Times New Roman" w:cs="Times New Roman" w:ascii="Times New Roman" w:hAnsi="Times New Roman"/>
          <w:b/>
          <w:sz w:val="28"/>
          <w:szCs w:val="28"/>
        </w:rPr>
        <w:t>Если плотность недостаточна, то животные начинают чрезмерно много передвигаться (метаться) по пастбищу, делая стежки, вытаптывая траву и плохо ее поедая, в результате снижается их продуктивность.</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Установлено, что при загонной системе пастьбы овцам требуется на 25…40 % меньше пастбищной площади, чем при вольном выпасе. При введении загонной пастьбы на горных пастбищах можно прокормить скота в среднем на 20 % больше и получить животноводческой продукции (молока, мяса) на 25 % больше, чем при бессистемной пастьбе.</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При организации загонной системы пастьбы большое значение имеют размер и число загонов, длительность их использования.</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Размер загонов устанавливают в зависимости от продуктивности пастбища, размера стада, быстроты отрастания растительной массы на пастбище. Урожайность зеленой массы пастбищ часто изменяется по годам, однако это не означает, что каждый год следует менять размеры загонов. Они должны оставаться постоянными, но необходимо изменять количество дней использования каждого загона.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На культурных пастбищах наиболее целесообразна площадь загонов до 4…5 га, а при стравливании травостоя в загонах по частям (порциям) можно увеличить их размеры до 8 га. Выпас в крупных загонах часто превращается в бессистемный со всеми его недостатками.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Число загонов устанавливают с учетом площади, закрепленной за стадом, а также размера загона. В то же время учитывают срок, в течение которого травостой после стравливания загона успевает отрасти и может быть использован вторично при последующем цикле стравливания. Второе стравливание можно начинать через 25…30 дней, а последующие — через 30…40 дней. Если период отрастания равен, например, 25 дням, то при трехдневном использовании загона потребуется 8 загонов (кроме используемого в настоящее время), а всего, следовательно, 9.</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Число загонов по зонам ориентировочно может быть следующим: в лесной зоне — 8…12, в лесостепной и степной — не менее 16, в степной зоне и полупустыне — не менее 24.</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 ряде случаев целесообразно увеличивать число загонов, так как урожайность трав в последующие циклы выпаса значительно уменьшается и стравливание травостоя происходит быстрее. По мере продвижения на юг урожайность трав резко снижается, а продолжительность пастбищного периода возрастает, что также вызывает необходимость увеличивать число загонов.</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Срок использования загонов зависит от того, сколько дней животные могут находиться в каждом из них, получая достаточное количество пастбищного корма и не причиняя значительного ущерба растительности.</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Желательно, чтобы срок пребывания животных в каждом загоне не превышал 3 дней, так как более продолжительный выпас часто приводит к распространению глистных заболеваний. Срок использования зависит и от высоты стравливания. Когда после выпаса трава будет иметь высоту около 5 см, животных следует перегонять на другой участок, так как при более низком стравливании (2…3 см) пастбища ухудшаются[71].</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Для начала, рассмотрим основные правила организации и проведения пастбищного периода содержания крупного рогатого скота.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Необходимая площадь культурного пастбища из расчета на одну корову должна составлять </w:t>
      </w:r>
      <w:r>
        <w:rPr>
          <w:rFonts w:eastAsia="Times New Roman" w:cs="Times New Roman" w:ascii="Times New Roman" w:hAnsi="Times New Roman"/>
          <w:b/>
          <w:sz w:val="28"/>
          <w:szCs w:val="28"/>
        </w:rPr>
        <w:t>0,4—0,5 га</w:t>
      </w:r>
      <w:r>
        <w:rPr>
          <w:rFonts w:eastAsia="Times New Roman" w:cs="Times New Roman" w:ascii="Times New Roman" w:hAnsi="Times New Roman"/>
          <w:sz w:val="28"/>
          <w:szCs w:val="28"/>
        </w:rPr>
        <w:t xml:space="preserve">, для молодняка крупного рогатого скота — 0,2 га; площадь высокопродуктивного бобово-злакового пастбища интенсивного типа на 1 корову — 0,3—0,35 га. </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Необходимая площадь природных естественных пастбищ рассчитывается исходя из их урожайности. Начинать выпас коров весной следует при высоте травостоя</w:t>
      </w:r>
      <w:r>
        <w:rPr>
          <w:rFonts w:eastAsia="Times New Roman" w:cs="Times New Roman" w:ascii="Times New Roman" w:hAnsi="Times New Roman"/>
          <w:b/>
          <w:sz w:val="28"/>
          <w:szCs w:val="28"/>
        </w:rPr>
        <w:t xml:space="preserve"> 10— 12 см</w:t>
      </w:r>
      <w:r>
        <w:rPr>
          <w:rFonts w:eastAsia="Times New Roman" w:cs="Times New Roman" w:ascii="Times New Roman" w:hAnsi="Times New Roman"/>
          <w:sz w:val="28"/>
          <w:szCs w:val="28"/>
        </w:rPr>
        <w:t>.</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Необходимо строго соблюдать пастбищный оборот с тем, чтобы высота травостоя </w:t>
      </w:r>
      <w:r>
        <w:rPr>
          <w:rFonts w:eastAsia="Times New Roman" w:cs="Times New Roman" w:ascii="Times New Roman" w:hAnsi="Times New Roman"/>
          <w:b/>
          <w:sz w:val="28"/>
          <w:szCs w:val="28"/>
        </w:rPr>
        <w:t>не превышала 15 см</w:t>
      </w:r>
      <w:r>
        <w:rPr>
          <w:rFonts w:eastAsia="Times New Roman" w:cs="Times New Roman" w:ascii="Times New Roman" w:hAnsi="Times New Roman"/>
          <w:sz w:val="28"/>
          <w:szCs w:val="28"/>
        </w:rPr>
        <w:t>. При таком травостое корова съедает 65—75 кг корма в день, в то время как при высоте 20—25 см только 35— 40 кг.</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Также, существенное значение имеет применение загонной и порционной пастьбы, что увеличивает выход зеленой массы на </w:t>
      </w:r>
      <w:r>
        <w:rPr>
          <w:rFonts w:eastAsia="Times New Roman" w:cs="Times New Roman" w:ascii="Times New Roman" w:hAnsi="Times New Roman"/>
          <w:b/>
          <w:sz w:val="28"/>
          <w:szCs w:val="28"/>
        </w:rPr>
        <w:t>20—25%</w:t>
      </w:r>
      <w:r>
        <w:rPr>
          <w:rFonts w:eastAsia="Times New Roman" w:cs="Times New Roman" w:ascii="Times New Roman" w:hAnsi="Times New Roman"/>
          <w:sz w:val="28"/>
          <w:szCs w:val="28"/>
        </w:rPr>
        <w:t xml:space="preserve">, повышает усвояемость корма на </w:t>
      </w:r>
      <w:r>
        <w:rPr>
          <w:rFonts w:eastAsia="Times New Roman" w:cs="Times New Roman" w:ascii="Times New Roman" w:hAnsi="Times New Roman"/>
          <w:b/>
          <w:sz w:val="28"/>
          <w:szCs w:val="28"/>
        </w:rPr>
        <w:t>20%</w:t>
      </w:r>
      <w:r>
        <w:rPr>
          <w:rFonts w:eastAsia="Times New Roman" w:cs="Times New Roman" w:ascii="Times New Roman" w:hAnsi="Times New Roman"/>
          <w:sz w:val="28"/>
          <w:szCs w:val="28"/>
        </w:rPr>
        <w:t xml:space="preserve"> и продуктивность коров на </w:t>
      </w:r>
      <w:r>
        <w:rPr>
          <w:rFonts w:eastAsia="Times New Roman" w:cs="Times New Roman" w:ascii="Times New Roman" w:hAnsi="Times New Roman"/>
          <w:b/>
          <w:sz w:val="28"/>
          <w:szCs w:val="28"/>
        </w:rPr>
        <w:t>15—20%</w:t>
      </w:r>
      <w:r>
        <w:rPr>
          <w:rFonts w:eastAsia="Times New Roman" w:cs="Times New Roman" w:ascii="Times New Roman" w:hAnsi="Times New Roman"/>
          <w:sz w:val="28"/>
          <w:szCs w:val="28"/>
        </w:rPr>
        <w:t xml:space="preserve"> по сравнению с бессистемной пастьбой. Для оптимального использования травостоя утренний выпас скота начинают с той порции, где животные паслись накануне, а затем переходят на свежую траву. </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Очень важна правильная организация минерального питания: каждой корове для нормального солевого обмена требуется </w:t>
      </w:r>
      <w:r>
        <w:rPr>
          <w:rFonts w:eastAsia="Times New Roman" w:cs="Times New Roman" w:ascii="Times New Roman" w:hAnsi="Times New Roman"/>
          <w:b/>
          <w:sz w:val="28"/>
          <w:szCs w:val="28"/>
        </w:rPr>
        <w:t>150 г</w:t>
      </w:r>
      <w:r>
        <w:rPr>
          <w:rFonts w:eastAsia="Times New Roman" w:cs="Times New Roman" w:ascii="Times New Roman" w:hAnsi="Times New Roman"/>
          <w:sz w:val="28"/>
          <w:szCs w:val="28"/>
        </w:rPr>
        <w:t xml:space="preserve"> соли в сутки.</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Водопой для животных на пастбище организуют из расчёта обеспечения </w:t>
      </w:r>
      <w:r>
        <w:rPr>
          <w:rFonts w:eastAsia="Times New Roman" w:cs="Times New Roman" w:ascii="Times New Roman" w:hAnsi="Times New Roman"/>
          <w:b/>
          <w:sz w:val="28"/>
          <w:szCs w:val="28"/>
        </w:rPr>
        <w:t xml:space="preserve">60—70 л </w:t>
      </w:r>
      <w:r>
        <w:rPr>
          <w:rFonts w:eastAsia="Times New Roman" w:cs="Times New Roman" w:ascii="Times New Roman" w:hAnsi="Times New Roman"/>
          <w:sz w:val="28"/>
          <w:szCs w:val="28"/>
        </w:rPr>
        <w:t xml:space="preserve">воды на корову, в жаркие дни — до </w:t>
      </w:r>
      <w:r>
        <w:rPr>
          <w:rFonts w:eastAsia="Times New Roman" w:cs="Times New Roman" w:ascii="Times New Roman" w:hAnsi="Times New Roman"/>
          <w:b/>
          <w:sz w:val="28"/>
          <w:szCs w:val="28"/>
        </w:rPr>
        <w:t>120 л</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Пастбищные корма не обеспечивают высокопродуктивных животных энергией, фосфором, микроэлементами, а в отдельные периоды роста и развития растений — клетчаткой.</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Несбалансированный рацион приводит к повышенному расходу кормов (на 10-20% по питательности и сухому веществу) на единицу продукции.</w:t>
      </w:r>
    </w:p>
    <w:p>
      <w:pPr>
        <w:pStyle w:val="Normal1"/>
        <w:numPr>
          <w:ilvl w:val="0"/>
          <w:numId w:val="3"/>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Для оптимизации рационов использовать компьютерные программы с современным блоком расчета потребностей животных в питательных веществах и энергииp[66]</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В данной диссертационной работе проводится патентный анализ с целью выведения основных направлении в сфере применения технолонии эффективной пастьбы и менеджмента ресурса пастбища, а также выявленя характерных особенностей существующих технических решении и установления их недостатков. Проведенный ниже патентный поиск позволяет выделить наиболее близкие по свему содержанию и техническому решению патенты на основе которого будут выведены новые решения в данной диссертационной работе.</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i/>
          <w:i/>
          <w:sz w:val="28"/>
          <w:szCs w:val="28"/>
        </w:rPr>
      </w:pPr>
      <w:r>
        <w:rPr>
          <w:rFonts w:eastAsia="Times New Roman" w:cs="Times New Roman" w:ascii="Times New Roman" w:hAnsi="Times New Roman"/>
          <w:sz w:val="28"/>
          <w:szCs w:val="28"/>
        </w:rPr>
        <w:t>Рассмотренные в данной диссертационной работе патенты можно сгруппировать по следующим категориям в зависимости от рассматриваемых вопросов:</w:t>
      </w:r>
    </w:p>
    <w:p>
      <w:pPr>
        <w:pStyle w:val="Normal1"/>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Повышенная материалоемкость, большие затраты труда на изготовление и обслуживание конструкции загона [4-8, 14, 17, 20, 22, 23, 26, 27].</w:t>
      </w:r>
    </w:p>
    <w:p>
      <w:pPr>
        <w:pStyle w:val="Normal1"/>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Сложности в оценке количества и качества потребляемых животными кормов [2, 9, 12].</w:t>
      </w:r>
    </w:p>
    <w:p>
      <w:pPr>
        <w:pStyle w:val="Normal1"/>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Отсутствие системы контроля за эффективным перегоном животных на пастбище [3, 13, 25].</w:t>
      </w:r>
    </w:p>
    <w:p>
      <w:pPr>
        <w:pStyle w:val="Normal1"/>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Требование большого адаптационного периода, повреждение проволок, возникновение стресса у животных [11, 21].</w:t>
      </w:r>
    </w:p>
    <w:p>
      <w:pPr>
        <w:pStyle w:val="Normal1"/>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Невозможность качественной и количественной оценки поглощенного корма животными на пастбище [16, 24].</w:t>
      </w:r>
    </w:p>
    <w:p>
      <w:pPr>
        <w:pStyle w:val="Normal1"/>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Отсутствие возможности в существующих системах менять границы загонов, а также контролировать выпас животных [15, 18, 19].</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Более подробный разбор рассмотренных патентов приведен в таблице 3.</w:t>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Таблица 3. – Подробный анализ рассмотренных патентов.</w:t>
      </w:r>
    </w:p>
    <w:tbl>
      <w:tblPr>
        <w:tblStyle w:val="Table4"/>
        <w:tblW w:w="9014" w:type="dxa"/>
        <w:jc w:val="left"/>
        <w:tblInd w:w="0" w:type="dxa"/>
        <w:tblCellMar>
          <w:top w:w="100" w:type="dxa"/>
          <w:left w:w="100" w:type="dxa"/>
          <w:bottom w:w="100" w:type="dxa"/>
          <w:right w:w="100" w:type="dxa"/>
        </w:tblCellMar>
        <w:tblLook w:val="0600"/>
      </w:tblPr>
      <w:tblGrid>
        <w:gridCol w:w="2369"/>
        <w:gridCol w:w="1245"/>
        <w:gridCol w:w="2639"/>
        <w:gridCol w:w="2761"/>
      </w:tblGrid>
      <w:tr>
        <w:trPr/>
        <w:tc>
          <w:tcPr>
            <w:tcW w:w="23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Рассмотренная проблема</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Патент</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Предложенное решение</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Недостаток</w:t>
            </w:r>
          </w:p>
        </w:tc>
      </w:tr>
      <w:tr>
        <w:trPr>
          <w:trHeight w:val="480" w:hRule="atLeast"/>
        </w:trPr>
        <w:tc>
          <w:tcPr>
            <w:tcW w:w="23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Повышенная материалоемкость, большие затраты труда на изготовление и обслуживание конструкции загона</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Устройство с поворотным механизмом </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Неоптимальное энергопотребление устройства</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[5]</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конструкции надувного блока</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Необходимость надувать и сдувать блоки ограждении. Отностительно тяжелый вес</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[6]</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Создание конструкции надувного блока</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Необходимость надувать и сдувать блоки ограждении. Отностительно тяжелый вес</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[7]</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Быстроразвертываемая мобильная часть электрической изгороди</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Быстрый износ возвратной пружины </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[8]</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Охотничий вольер выполненый в виде сегментов</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Необходимость осуществления ручного перегона животных</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[14]</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Портативное ограждение</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Высокая материалоемкость в виду большего количества стягивающих роликов</w:t>
            </w:r>
          </w:p>
        </w:tc>
      </w:tr>
    </w:tbl>
    <w:p>
      <w:pPr>
        <w:pStyle w:val="TextBody"/>
        <w:rPr/>
      </w:pPr>
      <w:r>
        <w:rPr/>
      </w:r>
    </w:p>
    <w:p>
      <w:pPr>
        <w:pStyle w:val="TextBody"/>
        <w:rPr/>
      </w:pPr>
      <w:r>
        <w:rPr/>
      </w:r>
    </w:p>
    <w:p>
      <w:pPr>
        <w:pStyle w:val="TextBody"/>
        <w:rPr/>
      </w:pPr>
      <w:r>
        <w:rPr/>
      </w:r>
    </w:p>
    <w:p>
      <w:pPr>
        <w:pStyle w:val="Normal1"/>
        <w:jc w:val="right"/>
        <w:rPr/>
      </w:pPr>
      <w:r>
        <w:rPr>
          <w:rFonts w:eastAsia="Times New Roman" w:cs="Times New Roman" w:ascii="Times New Roman" w:hAnsi="Times New Roman"/>
          <w:sz w:val="28"/>
          <w:szCs w:val="28"/>
        </w:rPr>
        <w:t xml:space="preserve">Продолжение таблицы </w:t>
      </w:r>
      <w:r>
        <w:rPr>
          <w:rFonts w:eastAsia="Times New Roman" w:cs="Times New Roman" w:ascii="Times New Roman" w:hAnsi="Times New Roman"/>
          <w:sz w:val="28"/>
          <w:szCs w:val="28"/>
        </w:rPr>
        <w:t>3</w:t>
      </w:r>
      <w:r>
        <w:rPr>
          <w:rFonts w:eastAsia="Times New Roman" w:cs="Times New Roman" w:ascii="Times New Roman" w:hAnsi="Times New Roman"/>
          <w:sz w:val="28"/>
          <w:szCs w:val="28"/>
        </w:rPr>
        <w:t>.</w:t>
      </w:r>
    </w:p>
    <w:tbl>
      <w:tblPr>
        <w:tblStyle w:val="Table4"/>
        <w:tblW w:w="9014" w:type="dxa"/>
        <w:jc w:val="left"/>
        <w:tblInd w:w="0" w:type="dxa"/>
        <w:tblCellMar>
          <w:top w:w="100" w:type="dxa"/>
          <w:left w:w="100" w:type="dxa"/>
          <w:bottom w:w="100" w:type="dxa"/>
          <w:right w:w="100" w:type="dxa"/>
        </w:tblCellMar>
        <w:tblLook w:val="0600"/>
      </w:tblPr>
      <w:tblGrid>
        <w:gridCol w:w="2369"/>
        <w:gridCol w:w="1245"/>
        <w:gridCol w:w="2639"/>
        <w:gridCol w:w="2761"/>
      </w:tblGrid>
      <w:tr>
        <w:trPr>
          <w:trHeight w:val="480" w:hRule="atLeast"/>
        </w:trPr>
        <w:tc>
          <w:tcPr>
            <w:tcW w:w="23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[17]</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Внедрение переносных столбов и электрических линии</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Использование исключительно солнечной батарей как источника энергии</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[20]</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контроля выпаса скота посредством комплекса ошейников</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Постоянное отслеживание местоположения каждого животного</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[22]</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Выпас скота с использованием комплексом ошейников и дрона</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в реализации контроля в виду наличия дрона</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[23]</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Выпас скота с помощью устройств ошейников на базе IoT</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Постоянное отслеживание местоположения каждого животного</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[26]</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Выпас скота с помощью устройств меток на базе IoT</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Постоянное отслеживание местоположения каждого животного</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[27]</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Выпас с помощью ошейников на базе IoT и облачных вычислении</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Постоянное отслеживание местоположения каждого животного</w:t>
            </w:r>
          </w:p>
        </w:tc>
      </w:tr>
      <w:tr>
        <w:trPr>
          <w:trHeight w:val="480" w:hRule="atLeast"/>
        </w:trPr>
        <w:tc>
          <w:tcPr>
            <w:tcW w:w="23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Сложности в оценке количества и качества потребляемых животными кормов</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Выпас скота посредством автоматических ворот</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Сложность изготовления ворот загона</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[9]</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Электронные весы и датчики для осуществления кормления</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Неоптимальное энергопотребление устройства</w:t>
            </w:r>
          </w:p>
        </w:tc>
      </w:tr>
    </w:tbl>
    <w:p>
      <w:pPr>
        <w:pStyle w:val="TextBody"/>
        <w:rPr/>
      </w:pPr>
      <w:r>
        <w:rPr/>
      </w:r>
    </w:p>
    <w:p>
      <w:pPr>
        <w:pStyle w:val="TextBody"/>
        <w:rPr/>
      </w:pPr>
      <w:r>
        <w:rPr/>
      </w:r>
    </w:p>
    <w:p>
      <w:pPr>
        <w:pStyle w:val="Normal1"/>
        <w:jc w:val="right"/>
        <w:rPr/>
      </w:pPr>
      <w:r>
        <w:rPr>
          <w:rFonts w:eastAsia="Times New Roman" w:cs="Times New Roman" w:ascii="Times New Roman" w:hAnsi="Times New Roman"/>
          <w:sz w:val="28"/>
          <w:szCs w:val="28"/>
        </w:rPr>
        <w:t xml:space="preserve">Продолжение таблицы </w:t>
      </w:r>
      <w:r>
        <w:rPr>
          <w:rFonts w:eastAsia="Times New Roman" w:cs="Times New Roman" w:ascii="Times New Roman" w:hAnsi="Times New Roman"/>
          <w:sz w:val="28"/>
          <w:szCs w:val="28"/>
        </w:rPr>
        <w:t>3</w:t>
      </w:r>
      <w:r>
        <w:rPr>
          <w:rFonts w:eastAsia="Times New Roman" w:cs="Times New Roman" w:ascii="Times New Roman" w:hAnsi="Times New Roman"/>
          <w:sz w:val="28"/>
          <w:szCs w:val="28"/>
        </w:rPr>
        <w:t>.</w:t>
      </w:r>
    </w:p>
    <w:tbl>
      <w:tblPr>
        <w:tblStyle w:val="Table4"/>
        <w:tblW w:w="9014" w:type="dxa"/>
        <w:jc w:val="left"/>
        <w:tblInd w:w="0" w:type="dxa"/>
        <w:tblCellMar>
          <w:top w:w="100" w:type="dxa"/>
          <w:left w:w="100" w:type="dxa"/>
          <w:bottom w:w="100" w:type="dxa"/>
          <w:right w:w="100" w:type="dxa"/>
        </w:tblCellMar>
        <w:tblLook w:val="0600"/>
      </w:tblPr>
      <w:tblGrid>
        <w:gridCol w:w="2369"/>
        <w:gridCol w:w="1245"/>
        <w:gridCol w:w="2639"/>
        <w:gridCol w:w="2761"/>
      </w:tblGrid>
      <w:tr>
        <w:trPr>
          <w:trHeight w:val="480" w:hRule="atLeast"/>
        </w:trPr>
        <w:tc>
          <w:tcPr>
            <w:tcW w:w="23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[12]</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автоматизации и информатизации</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Высокие энергетические расходы  устройства</w:t>
            </w:r>
          </w:p>
        </w:tc>
      </w:tr>
      <w:tr>
        <w:trPr>
          <w:trHeight w:val="480" w:hRule="atLeast"/>
        </w:trPr>
        <w:tc>
          <w:tcPr>
            <w:tcW w:w="23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системы контроля за эффективным перегоном животных на пастбище</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Пастьба животных путем включения и выключения ультразвуковых лучей</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Высокие энергетические расходы  устройства</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[13]</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для экономического расчета маршрута стада</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Неоптимальное энергопотребление устройства</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[25]</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обнаружения отбившегося животного от основного стада</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корректирующего воздействия на стадо</w:t>
            </w:r>
          </w:p>
        </w:tc>
      </w:tr>
      <w:tr>
        <w:trPr>
          <w:trHeight w:val="480" w:hRule="atLeast"/>
        </w:trPr>
        <w:tc>
          <w:tcPr>
            <w:tcW w:w="23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Требование большого адаптационного периода, повреждение проволок, возникновение стресса у животных</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[11]</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Воздействиея на животных звуками жужжания овода</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Материалоемкость и стоимость снижается только при массовом серийном производстве</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[21]</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Выпас с разными возможностями выхода животного из загона</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Трудность определения местонахождения в горной местности</w:t>
            </w:r>
          </w:p>
        </w:tc>
      </w:tr>
      <w:tr>
        <w:trPr>
          <w:trHeight w:val="480" w:hRule="atLeast"/>
        </w:trPr>
        <w:tc>
          <w:tcPr>
            <w:tcW w:w="23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Невозможность качественной и количественной оценки поглощенного корма животными на пастбище</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[16]</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Устройство для перемещения внутри пастбища</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Высокие энергетические расходы  устройства</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[24]</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Система и метод для мониторинга и измерения потребления корма</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Сложность в изготовлении ошейников </w:t>
            </w:r>
          </w:p>
        </w:tc>
      </w:tr>
    </w:tbl>
    <w:p>
      <w:pPr>
        <w:pStyle w:val="TextBody"/>
        <w:rPr/>
      </w:pPr>
      <w:r>
        <w:rPr/>
      </w:r>
    </w:p>
    <w:p>
      <w:pPr>
        <w:pStyle w:val="TextBody"/>
        <w:rPr/>
      </w:pPr>
      <w:r>
        <w:rPr/>
      </w:r>
    </w:p>
    <w:p>
      <w:pPr>
        <w:pStyle w:val="Normal1"/>
        <w:jc w:val="right"/>
        <w:rPr/>
      </w:pPr>
      <w:r>
        <w:rPr>
          <w:rFonts w:eastAsia="Times New Roman" w:cs="Times New Roman" w:ascii="Times New Roman" w:hAnsi="Times New Roman"/>
          <w:sz w:val="28"/>
          <w:szCs w:val="28"/>
        </w:rPr>
        <w:t xml:space="preserve">Продолжение таблицы </w:t>
      </w:r>
      <w:r>
        <w:rPr>
          <w:rFonts w:eastAsia="Times New Roman" w:cs="Times New Roman" w:ascii="Times New Roman" w:hAnsi="Times New Roman"/>
          <w:sz w:val="28"/>
          <w:szCs w:val="28"/>
        </w:rPr>
        <w:t>3</w:t>
      </w:r>
      <w:r>
        <w:rPr>
          <w:rFonts w:eastAsia="Times New Roman" w:cs="Times New Roman" w:ascii="Times New Roman" w:hAnsi="Times New Roman"/>
          <w:sz w:val="28"/>
          <w:szCs w:val="28"/>
        </w:rPr>
        <w:t>.</w:t>
      </w:r>
    </w:p>
    <w:tbl>
      <w:tblPr>
        <w:tblStyle w:val="Table4"/>
        <w:tblW w:w="9014" w:type="dxa"/>
        <w:jc w:val="left"/>
        <w:tblInd w:w="0" w:type="dxa"/>
        <w:tblCellMar>
          <w:top w:w="100" w:type="dxa"/>
          <w:left w:w="100" w:type="dxa"/>
          <w:bottom w:w="100" w:type="dxa"/>
          <w:right w:w="100" w:type="dxa"/>
        </w:tblCellMar>
        <w:tblLook w:val="0600"/>
      </w:tblPr>
      <w:tblGrid>
        <w:gridCol w:w="2369"/>
        <w:gridCol w:w="1245"/>
        <w:gridCol w:w="2639"/>
        <w:gridCol w:w="2761"/>
      </w:tblGrid>
      <w:tr>
        <w:trPr>
          <w:trHeight w:val="480" w:hRule="atLeast"/>
        </w:trPr>
        <w:tc>
          <w:tcPr>
            <w:tcW w:w="2369"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Отсутствие возможности в существующих системах менять границы загонов, а также контролировать выпас животных</w:t>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[15]</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Самоходная система робо-платформ</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Трудность определения местонахождения в горной местности</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[18]</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Самоходная система робо-платформ</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Трудность определения местонахождения в горной местности</w:t>
            </w:r>
          </w:p>
        </w:tc>
      </w:tr>
      <w:tr>
        <w:trPr>
          <w:trHeight w:val="480" w:hRule="atLeast"/>
        </w:trPr>
        <w:tc>
          <w:tcPr>
            <w:tcW w:w="2369"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[19]</w:t>
            </w:r>
          </w:p>
        </w:tc>
        <w:tc>
          <w:tcPr>
            <w:tcW w:w="26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Ошейники с корректирующим воздействием на животные</w:t>
            </w:r>
          </w:p>
        </w:tc>
        <w:tc>
          <w:tcPr>
            <w:tcW w:w="276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t>Неоптимальное энергопотребление устройства в виду комбинации воздействии на животных</w:t>
            </w:r>
          </w:p>
        </w:tc>
      </w:tr>
    </w:tbl>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t>Из вышеприведенного анализа патентов и рассмотрения их основных особенностей и недостатков, следует, что наиболее приемлемым техническим рашением проблемы контроля выпаса скота являются технологии виртуальных изгородей, и как альтернатива, наименее материалоёмкие и легкие в обслуживании загоны механическо-электрическго типа контроль которых будет осуществляеться посредством системы принятия решении веб-портального типа.</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b/>
          <w:sz w:val="28"/>
          <w:szCs w:val="28"/>
        </w:rPr>
        <w:t>1.4 Выводы</w:t>
      </w:r>
    </w:p>
    <w:p>
      <w:pPr>
        <w:pStyle w:val="Normal1"/>
        <w:ind w:firstLine="720"/>
        <w:rPr>
          <w:rFonts w:ascii="Times New Roman" w:hAnsi="Times New Roman" w:eastAsia="Times New Roman" w:cs="Times New Roman"/>
          <w:i/>
          <w:i/>
          <w:sz w:val="28"/>
          <w:szCs w:val="28"/>
        </w:rPr>
      </w:pPr>
      <w:r>
        <w:rPr>
          <w:rFonts w:eastAsia="Times New Roman" w:cs="Times New Roman" w:ascii="Times New Roman" w:hAnsi="Times New Roman"/>
          <w:i/>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Из вышеприведенного анализа патентов и статьей следует, что наиболее приемлемым техническим рашением проблемы контроля выпаса скота являются технологии виртуальных изгородей, и как альтернатива, наименее материалоёмкие и легкие в обслуживании загоны механическо-электрическгог типа.</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Также, технологии дистанционного зондирования земли вкупе с методами машинного обучения при правильном подборе ключевых параметров рассматриваемой системы может дать положительные результатаы при определении биомассы пастбища.</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Таким образом, в данной диссертационной работе, с учетом всех пречисленных недостатков в рассмотренных ранее патентов и статьей предлагается </w:t>
      </w:r>
      <w:r>
        <w:rPr>
          <w:rFonts w:eastAsia="Times New Roman" w:cs="Times New Roman" w:ascii="Times New Roman" w:hAnsi="Times New Roman"/>
          <w:b/>
          <w:sz w:val="28"/>
          <w:szCs w:val="28"/>
        </w:rPr>
        <w:t>разработать многофакторную систему принятия решении веб-портального типа с применением искусственного интеллекта для обработки снимков ДЗЗ и контроля изгородями пастбища с позиционированием скота в режиме реального времени</w:t>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ind w:left="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ССЫЛКИ НА ИСПОЛЬЗОВАННЫЕ ИСТОЧНИКИ</w:t>
      </w:r>
    </w:p>
    <w:p>
      <w:pPr>
        <w:pStyle w:val="Normal1"/>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numPr>
          <w:ilvl w:val="0"/>
          <w:numId w:val="2"/>
        </w:numPr>
        <w:ind w:left="720" w:hanging="360"/>
        <w:rPr/>
      </w:pPr>
      <w:r>
        <w:rPr>
          <w:rFonts w:eastAsia="Times New Roman" w:cs="Times New Roman" w:ascii="Times New Roman" w:hAnsi="Times New Roman"/>
          <w:sz w:val="28"/>
          <w:szCs w:val="28"/>
        </w:rPr>
        <w:t xml:space="preserve">Патент США №US2007/0288249A1, 13.01.2007, URL: </w:t>
      </w:r>
      <w:hyperlink r:id="rId2">
        <w:r>
          <w:rPr>
            <w:rStyle w:val="ListLabel37"/>
            <w:rFonts w:eastAsia="Times New Roman" w:cs="Times New Roman" w:ascii="Times New Roman" w:hAnsi="Times New Roman"/>
            <w:color w:val="1155CC"/>
            <w:sz w:val="28"/>
            <w:szCs w:val="28"/>
            <w:u w:val="single"/>
          </w:rPr>
          <w:t xml:space="preserve">https://patentimages.storage.googleapis.com/0f/1c/e5/a6f29caee180f6/US20070288249A1.pdf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США №WO2020/129056, 25.06.2020, URL: </w:t>
      </w:r>
      <w:hyperlink r:id="rId3">
        <w:r>
          <w:rPr>
            <w:rStyle w:val="ListLabel37"/>
            <w:rFonts w:eastAsia="Times New Roman" w:cs="Times New Roman" w:ascii="Times New Roman" w:hAnsi="Times New Roman"/>
            <w:color w:val="1155CC"/>
            <w:sz w:val="28"/>
            <w:szCs w:val="28"/>
            <w:u w:val="single"/>
          </w:rPr>
          <w:t>https://patentscope.wipo.int/search/en/detail.jsf?docId=WO2020129056</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№RU0002730866, 26.08.2020, URL: </w:t>
      </w:r>
      <w:hyperlink r:id="rId4">
        <w:r>
          <w:rPr>
            <w:rStyle w:val="ListLabel37"/>
            <w:rFonts w:eastAsia="Times New Roman" w:cs="Times New Roman" w:ascii="Times New Roman" w:hAnsi="Times New Roman"/>
            <w:color w:val="1155CC"/>
            <w:sz w:val="28"/>
            <w:szCs w:val="28"/>
            <w:u w:val="single"/>
          </w:rPr>
          <w:t>https://patentscope.wipo.int/search/ru/detail.jsf?docId=RU305244190&amp;_cid=P12-L2AAV7-37292-1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№RU0002515392, 10.05.2014, URL: </w:t>
      </w:r>
      <w:hyperlink r:id="rId5">
        <w:r>
          <w:rPr>
            <w:rStyle w:val="ListLabel37"/>
            <w:rFonts w:eastAsia="Times New Roman" w:cs="Times New Roman" w:ascii="Times New Roman" w:hAnsi="Times New Roman"/>
            <w:color w:val="1155CC"/>
            <w:sz w:val="28"/>
            <w:szCs w:val="28"/>
            <w:u w:val="single"/>
          </w:rPr>
          <w:t>https://patentscope.wipo.int/search/ru/detail.jsf?docId=RU97347769&amp;_cid=P12-L2AAV7-37292-1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№RU2711806, 22.01.2020, URL: </w:t>
      </w:r>
      <w:hyperlink r:id="rId6">
        <w:r>
          <w:rPr>
            <w:rStyle w:val="ListLabel37"/>
            <w:rFonts w:eastAsia="Times New Roman" w:cs="Times New Roman" w:ascii="Times New Roman" w:hAnsi="Times New Roman"/>
            <w:color w:val="1155CC"/>
            <w:sz w:val="28"/>
            <w:szCs w:val="28"/>
            <w:u w:val="single"/>
          </w:rPr>
          <w:t xml:space="preserve">https://findpatent.ru/patent/271/2711806.html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№RU2704851, 31.10.2019, URL: </w:t>
      </w:r>
      <w:hyperlink r:id="rId7">
        <w:r>
          <w:rPr>
            <w:rStyle w:val="ListLabel37"/>
            <w:rFonts w:eastAsia="Times New Roman" w:cs="Times New Roman" w:ascii="Times New Roman" w:hAnsi="Times New Roman"/>
            <w:color w:val="1155CC"/>
            <w:sz w:val="28"/>
            <w:szCs w:val="28"/>
            <w:u w:val="single"/>
          </w:rPr>
          <w:t xml:space="preserve">https://findpatent.ru/patent/270/2704851.html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№RU2714735, 19.02.2020, URL: </w:t>
      </w:r>
      <w:hyperlink r:id="rId8">
        <w:r>
          <w:rPr>
            <w:rStyle w:val="ListLabel37"/>
            <w:rFonts w:eastAsia="Times New Roman" w:cs="Times New Roman" w:ascii="Times New Roman" w:hAnsi="Times New Roman"/>
            <w:color w:val="1155CC"/>
            <w:sz w:val="28"/>
            <w:szCs w:val="28"/>
            <w:u w:val="single"/>
          </w:rPr>
          <w:t>https://findpatent.ru/patent/271/2714735.html</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№RU2645343, 21.02.2018, URL: </w:t>
      </w:r>
      <w:hyperlink r:id="rId9">
        <w:r>
          <w:rPr>
            <w:rStyle w:val="ListLabel37"/>
            <w:rFonts w:eastAsia="Times New Roman" w:cs="Times New Roman" w:ascii="Times New Roman" w:hAnsi="Times New Roman"/>
            <w:color w:val="1155CC"/>
            <w:sz w:val="28"/>
            <w:szCs w:val="28"/>
            <w:u w:val="single"/>
          </w:rPr>
          <w:t>https://patenton.ru/patent/RU2645343C1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№RU2675511, 01.01.2019, URL: </w:t>
      </w:r>
      <w:hyperlink r:id="rId10">
        <w:r>
          <w:rPr>
            <w:rStyle w:val="ListLabel37"/>
            <w:rFonts w:eastAsia="Times New Roman" w:cs="Times New Roman" w:ascii="Times New Roman" w:hAnsi="Times New Roman"/>
            <w:color w:val="1155CC"/>
            <w:sz w:val="28"/>
            <w:szCs w:val="28"/>
            <w:u w:val="single"/>
          </w:rPr>
          <w:t>https://findpatent.ru/patent/267/2675511.html</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Патента РФ №RU2614813, 12.04.2017, URL: </w:t>
      </w:r>
      <w:hyperlink r:id="rId11">
        <w:r>
          <w:rPr>
            <w:rStyle w:val="ListLabel37"/>
            <w:rFonts w:eastAsia="Times New Roman" w:cs="Times New Roman" w:ascii="Times New Roman" w:hAnsi="Times New Roman"/>
            <w:color w:val="1155CC"/>
            <w:sz w:val="28"/>
            <w:szCs w:val="28"/>
            <w:u w:val="single"/>
          </w:rPr>
          <w:t>https://findpatent.ru/patent/261/2614813.html</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№RU2379883, 21.03.2013, URL: </w:t>
      </w:r>
      <w:hyperlink r:id="rId12">
        <w:r>
          <w:rPr>
            <w:rStyle w:val="ListLabel37"/>
            <w:rFonts w:eastAsia="Times New Roman" w:cs="Times New Roman" w:ascii="Times New Roman" w:hAnsi="Times New Roman"/>
            <w:color w:val="1155CC"/>
            <w:sz w:val="28"/>
            <w:szCs w:val="28"/>
            <w:u w:val="single"/>
          </w:rPr>
          <w:t>https://findpatent.ru/patent/237/2379883.html</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№RU0002490875, 27.08.2013, URL: </w:t>
      </w:r>
      <w:hyperlink r:id="rId13">
        <w:r>
          <w:rPr>
            <w:rStyle w:val="ListLabel37"/>
            <w:rFonts w:eastAsia="Times New Roman" w:cs="Times New Roman" w:ascii="Times New Roman" w:hAnsi="Times New Roman"/>
            <w:color w:val="1155CC"/>
            <w:sz w:val="28"/>
            <w:szCs w:val="28"/>
            <w:u w:val="single"/>
          </w:rPr>
          <w:t>https://patentscope.wipo.int/search/ru/detail.jsf?docId=RU92375087&amp;_cid=P12-L2AAV7-37292-1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№RU2011143938, 10.05.2013, URL: </w:t>
      </w:r>
      <w:hyperlink r:id="rId14">
        <w:r>
          <w:rPr>
            <w:rStyle w:val="ListLabel37"/>
            <w:rFonts w:eastAsia="Times New Roman" w:cs="Times New Roman" w:ascii="Times New Roman" w:hAnsi="Times New Roman"/>
            <w:color w:val="1155CC"/>
            <w:sz w:val="28"/>
            <w:szCs w:val="28"/>
            <w:u w:val="single"/>
          </w:rPr>
          <w:t>https://patentscope.wipo.int/search/ru/detail.jsf?docId=RU92334303&amp;_cid=P12-L2AAV7-37292-1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США №US2020045931A1, 13.02.2020, URL: </w:t>
      </w:r>
      <w:hyperlink r:id="rId15">
        <w:r>
          <w:rPr>
            <w:rStyle w:val="ListLabel37"/>
            <w:rFonts w:eastAsia="Times New Roman" w:cs="Times New Roman" w:ascii="Times New Roman" w:hAnsi="Times New Roman"/>
            <w:color w:val="1155CC"/>
            <w:sz w:val="28"/>
            <w:szCs w:val="28"/>
            <w:u w:val="single"/>
          </w:rPr>
          <w:t>https://worldwide.espacenet.com/patent/search/family/069405002/publication/US2020045931A1?q=pn%3DUS2020045931A1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США №RS20201177A1, 31.03.2022, URL: </w:t>
      </w:r>
      <w:hyperlink r:id="rId16">
        <w:r>
          <w:rPr>
            <w:rStyle w:val="ListLabel37"/>
            <w:rFonts w:eastAsia="Times New Roman" w:cs="Times New Roman" w:ascii="Times New Roman" w:hAnsi="Times New Roman"/>
            <w:color w:val="1155CC"/>
            <w:sz w:val="28"/>
            <w:szCs w:val="28"/>
            <w:u w:val="single"/>
          </w:rPr>
          <w:t>https://worldwide.espacenet.com/patent/search/family/075108758/publication/RS20201177A1?q=pn%3DRS20201177A1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США №US2021267161A1, 02.09.2021, URL: </w:t>
      </w:r>
      <w:hyperlink r:id="rId17">
        <w:r>
          <w:rPr>
            <w:rStyle w:val="ListLabel37"/>
            <w:rFonts w:eastAsia="Times New Roman" w:cs="Times New Roman" w:ascii="Times New Roman" w:hAnsi="Times New Roman"/>
            <w:color w:val="1155CC"/>
            <w:sz w:val="28"/>
            <w:szCs w:val="28"/>
            <w:u w:val="single"/>
          </w:rPr>
          <w:t>https://worldwide.espacenet.com/patent/search/family/067847732/publication/US2021267161A1?q=pn%3DUS2021267161A1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РФ №RU187419U1, 05.03.2019, URL: </w:t>
      </w:r>
      <w:hyperlink r:id="rId18">
        <w:r>
          <w:rPr>
            <w:rStyle w:val="ListLabel37"/>
            <w:rFonts w:eastAsia="Times New Roman" w:cs="Times New Roman" w:ascii="Times New Roman" w:hAnsi="Times New Roman"/>
            <w:color w:val="1155CC"/>
            <w:sz w:val="28"/>
            <w:szCs w:val="28"/>
            <w:u w:val="single"/>
          </w:rPr>
          <w:t>https://worldwide.espacenet.com/patent/search/family/065678951/publication/RU187419U1?q=pn%3DRU187419U1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США №US2020128785A1, 30.04.2020, URL: </w:t>
      </w:r>
      <w:hyperlink r:id="rId19">
        <w:r>
          <w:rPr>
            <w:rStyle w:val="ListLabel37"/>
            <w:rFonts w:eastAsia="Times New Roman" w:cs="Times New Roman" w:ascii="Times New Roman" w:hAnsi="Times New Roman"/>
            <w:color w:val="1155CC"/>
            <w:sz w:val="28"/>
            <w:szCs w:val="28"/>
            <w:u w:val="single"/>
          </w:rPr>
          <w:t>https://worldwide.espacenet.com/patent/search/family/068617985/publication/US2020128785A1?q=pn%3DUS2020128785A1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США №US2013008391A1, 10.01.2013, URL: </w:t>
      </w:r>
      <w:hyperlink r:id="rId20">
        <w:r>
          <w:rPr>
            <w:rStyle w:val="ListLabel37"/>
            <w:rFonts w:eastAsia="Times New Roman" w:cs="Times New Roman" w:ascii="Times New Roman" w:hAnsi="Times New Roman"/>
            <w:color w:val="1155CC"/>
            <w:sz w:val="28"/>
            <w:szCs w:val="28"/>
            <w:u w:val="single"/>
          </w:rPr>
          <w:t>https://worldwide.espacenet.com/patent/search/family/044304457/publication/US2013008391A1?q=pn%3DUS2013008391A1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США №US10098324B2, 16.10.2018, URL: </w:t>
      </w:r>
      <w:hyperlink r:id="rId21">
        <w:r>
          <w:rPr>
            <w:rStyle w:val="ListLabel37"/>
            <w:rFonts w:eastAsia="Times New Roman" w:cs="Times New Roman" w:ascii="Times New Roman" w:hAnsi="Times New Roman"/>
            <w:color w:val="1155CC"/>
            <w:sz w:val="28"/>
            <w:szCs w:val="28"/>
            <w:u w:val="single"/>
          </w:rPr>
          <w:t>https://worldwide.espacenet.com/patent/search/family/057111158/publication/US10098324B2?q=pn%3DUS10098324B2</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КР №KR20190048161A, 09.05.2019, URL: </w:t>
      </w:r>
      <w:hyperlink r:id="rId22">
        <w:r>
          <w:rPr>
            <w:rStyle w:val="ListLabel37"/>
            <w:rFonts w:eastAsia="Times New Roman" w:cs="Times New Roman" w:ascii="Times New Roman" w:hAnsi="Times New Roman"/>
            <w:color w:val="1155CC"/>
            <w:sz w:val="28"/>
            <w:szCs w:val="28"/>
            <w:u w:val="single"/>
          </w:rPr>
          <w:t>https://worldwide.espacenet.com/patent/search/family/066546232/publication/KR20190048161A?q=pn%3DKR20190048161A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КР №KR102159319B1, 23.09.2020, URL: </w:t>
      </w:r>
      <w:hyperlink r:id="rId23">
        <w:r>
          <w:rPr>
            <w:rStyle w:val="ListLabel37"/>
            <w:rFonts w:eastAsia="Times New Roman" w:cs="Times New Roman" w:ascii="Times New Roman" w:hAnsi="Times New Roman"/>
            <w:color w:val="1155CC"/>
            <w:sz w:val="28"/>
            <w:szCs w:val="28"/>
            <w:u w:val="single"/>
          </w:rPr>
          <w:t>https://worldwide.espacenet.com/patent/search/family/072708733/publication/KR102159319B1?q=pn%3DKR102159319B1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КНР №CN111567441A, 25.08.2020, URL: </w:t>
      </w:r>
      <w:hyperlink r:id="rId24">
        <w:r>
          <w:rPr>
            <w:rStyle w:val="ListLabel37"/>
            <w:rFonts w:eastAsia="Times New Roman" w:cs="Times New Roman" w:ascii="Times New Roman" w:hAnsi="Times New Roman"/>
            <w:color w:val="1155CC"/>
            <w:sz w:val="28"/>
            <w:szCs w:val="28"/>
            <w:u w:val="single"/>
          </w:rPr>
          <w:t>https://worldwide.espacenet.com/patent/search/family/072110285/publication/CN111567441A?q=pn%3DCN111567441A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КНР №CN109640640A, 16.04.2019, URL: </w:t>
      </w:r>
      <w:hyperlink r:id="rId25">
        <w:r>
          <w:rPr>
            <w:rStyle w:val="ListLabel37"/>
            <w:rFonts w:eastAsia="Times New Roman" w:cs="Times New Roman" w:ascii="Times New Roman" w:hAnsi="Times New Roman"/>
            <w:color w:val="1155CC"/>
            <w:sz w:val="28"/>
            <w:szCs w:val="28"/>
            <w:u w:val="single"/>
          </w:rPr>
          <w:t>https://worldwide.espacenet.com/patent/search/family/060577514/publication/CN109640640A?q=pn%3DCN109640640A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КНР №WO2021033732A1, 25.02.2021, URL: </w:t>
      </w:r>
      <w:hyperlink r:id="rId26">
        <w:r>
          <w:rPr>
            <w:rStyle w:val="ListLabel37"/>
            <w:rFonts w:eastAsia="Times New Roman" w:cs="Times New Roman" w:ascii="Times New Roman" w:hAnsi="Times New Roman"/>
            <w:color w:val="1155CC"/>
            <w:sz w:val="28"/>
            <w:szCs w:val="28"/>
            <w:u w:val="single"/>
          </w:rPr>
          <w:t>https://worldwide.espacenet.com/patent/search/family/074661151/publication/WO2021033732A1?q=pn%3DWO2021033732A1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США №US2021059213A1, 04.03.2021, URL: </w:t>
      </w:r>
      <w:hyperlink r:id="rId27">
        <w:r>
          <w:rPr>
            <w:rStyle w:val="ListLabel37"/>
            <w:rFonts w:eastAsia="Times New Roman" w:cs="Times New Roman" w:ascii="Times New Roman" w:hAnsi="Times New Roman"/>
            <w:color w:val="1155CC"/>
            <w:sz w:val="28"/>
            <w:szCs w:val="28"/>
            <w:u w:val="single"/>
          </w:rPr>
          <w:t>https://worldwide.espacenet.com/patent/search/family/068295839/publication/US2021059213A1?q=pn%3DUS2021059213A1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Патент КНР №CN113869848A, 31.12.2021, URL: </w:t>
      </w:r>
      <w:hyperlink r:id="rId28">
        <w:r>
          <w:rPr>
            <w:rStyle w:val="ListLabel37"/>
            <w:rFonts w:eastAsia="Times New Roman" w:cs="Times New Roman" w:ascii="Times New Roman" w:hAnsi="Times New Roman"/>
            <w:color w:val="1155CC"/>
            <w:sz w:val="28"/>
            <w:szCs w:val="28"/>
            <w:u w:val="single"/>
          </w:rPr>
          <w:t>https://worldwide.espacenet.com/patent/search/family/078994872/publication/CN113869848A?q=pn%3DCN113869848A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Verdon M., Langworthy A., Rawnsley R. Virtual fencing technology to intensively graze lactating dairy cattle. II: Effects on cow welfare and behavior // Journal of Dairy Science. 2021. Т. 104. № 6. C. 7084–7094. URL: </w:t>
      </w:r>
      <w:hyperlink r:id="rId29">
        <w:r>
          <w:rPr>
            <w:rStyle w:val="ListLabel37"/>
            <w:rFonts w:eastAsia="Times New Roman" w:cs="Times New Roman" w:ascii="Times New Roman" w:hAnsi="Times New Roman"/>
            <w:color w:val="1155CC"/>
            <w:sz w:val="28"/>
            <w:szCs w:val="28"/>
            <w:u w:val="single"/>
          </w:rPr>
          <w:t>https://www.sciencedirect.com/science/article/pii/S0022030221004811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Lomax S., Colusso P., Clark C. E. F. Does Virtual Fencing Work for Grazing Dairy Cattle? // Animals. 2019. Т. 9. № 7. C. 429. URL: </w:t>
      </w:r>
      <w:hyperlink r:id="rId30">
        <w:r>
          <w:rPr>
            <w:rStyle w:val="ListLabel37"/>
            <w:rFonts w:eastAsia="Times New Roman" w:cs="Times New Roman" w:ascii="Times New Roman" w:hAnsi="Times New Roman"/>
            <w:color w:val="1155CC"/>
            <w:sz w:val="28"/>
            <w:szCs w:val="28"/>
            <w:u w:val="single"/>
          </w:rPr>
          <w:t>https://www.mdpi.com/2076-2615/9/7/429</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Langworthy A. D. [и др.]. Virtual fencing technology to intensively graze lactating dairy cattle. I: Technology efficacy and pasture utilization // Journal of Dairy Science. 2021. Т. 104. № 6. C. 7071–7083. URL: </w:t>
      </w:r>
      <w:hyperlink r:id="rId31">
        <w:r>
          <w:rPr>
            <w:rStyle w:val="ListLabel37"/>
            <w:rFonts w:eastAsia="Times New Roman" w:cs="Times New Roman" w:ascii="Times New Roman" w:hAnsi="Times New Roman"/>
            <w:color w:val="1155CC"/>
            <w:sz w:val="28"/>
            <w:szCs w:val="28"/>
            <w:u w:val="single"/>
          </w:rPr>
          <w:t xml:space="preserve">https://www.sciencedirect.com/science/article/pii/S002203022100480X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McSweeney D. [и др.]. Virtual fencing without visual cues: Design, difficulties of implementation, and associated dairy cow behaviour // Computers and Electronics in Agriculture. 2020. Т. 176. C. 105613. URL: </w:t>
      </w:r>
      <w:hyperlink r:id="rId32">
        <w:r>
          <w:rPr>
            <w:rStyle w:val="ListLabel37"/>
            <w:rFonts w:eastAsia="Times New Roman" w:cs="Times New Roman" w:ascii="Times New Roman" w:hAnsi="Times New Roman"/>
            <w:color w:val="1155CC"/>
            <w:sz w:val="28"/>
            <w:szCs w:val="28"/>
            <w:u w:val="single"/>
          </w:rPr>
          <w:t xml:space="preserve">https://www.sciencedirect.com/science/article/abs/pii/S0168169919309445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Campbell D. L. M. [и др.]. Virtual Fencing Is Comparable to Electric Tape Fencing for Cattle Behavior and Welfare // Frontiers in Veterinary Science. 2019. Т. 6. URL: </w:t>
      </w:r>
      <w:hyperlink r:id="rId33">
        <w:r>
          <w:rPr>
            <w:rStyle w:val="ListLabel37"/>
            <w:rFonts w:eastAsia="Times New Roman" w:cs="Times New Roman" w:ascii="Times New Roman" w:hAnsi="Times New Roman"/>
            <w:color w:val="1155CC"/>
            <w:sz w:val="28"/>
            <w:szCs w:val="28"/>
            <w:u w:val="single"/>
          </w:rPr>
          <w:t>https://www.frontiersin.org/articles/10.3389/fvets.2019.00445/full</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Marini D. [и др.]. Comparison of virtually fencing and electrically fencing sheep for pasture management // Animal Production Science. 2022. Т. 62. № 11. C. 1000–1005. URL: </w:t>
      </w:r>
      <w:hyperlink r:id="rId34">
        <w:r>
          <w:rPr>
            <w:rStyle w:val="ListLabel37"/>
            <w:rFonts w:eastAsia="Times New Roman" w:cs="Times New Roman" w:ascii="Times New Roman" w:hAnsi="Times New Roman"/>
            <w:color w:val="1155CC"/>
            <w:sz w:val="28"/>
            <w:szCs w:val="28"/>
            <w:u w:val="single"/>
          </w:rPr>
          <w:t xml:space="preserve">https://www.publish.csiro.au/an/AN21459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Цыганков Д. Н., Сысенко В. И. Применение данных дистанционного зондирования для мониторинга использования земель сельскохозяйственного назначения // Ученые записки. Электронный научный журнал Курского государственного университета. 2012. №2 (22). URL: </w:t>
      </w:r>
      <w:hyperlink r:id="rId35">
        <w:r>
          <w:rPr>
            <w:rStyle w:val="ListLabel37"/>
            <w:rFonts w:eastAsia="Times New Roman" w:cs="Times New Roman" w:ascii="Times New Roman" w:hAnsi="Times New Roman"/>
            <w:color w:val="1155CC"/>
            <w:sz w:val="28"/>
            <w:szCs w:val="28"/>
            <w:u w:val="single"/>
          </w:rPr>
          <w:t>https://cyberleninka.ru/article/n/primenenie-dannyh-distantsionnogo-zondirovaniya-dlya-monitoringa-ispolzovaniya-zemel-selskohozyaystvennogo-naznacheniya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Тлешпаева Динара Изатовна, Ауесбеков Нуриддин Расилбекович, Ермекбаев Батырбек Кадирбекович ЭФФЕКТИВНОСТЬ ИСПОЛЬЗОВАНИЯ СЕЛЬСКОХОЗЯЙСТВЕННЫХ ЗЕМЕЛЬ В КАЗАХСТАНЕ // Московский экономический журнал. 2021. №7. URL: </w:t>
      </w:r>
      <w:hyperlink r:id="rId36">
        <w:r>
          <w:rPr>
            <w:rStyle w:val="ListLabel37"/>
            <w:rFonts w:eastAsia="Times New Roman" w:cs="Times New Roman" w:ascii="Times New Roman" w:hAnsi="Times New Roman"/>
            <w:color w:val="1155CC"/>
            <w:sz w:val="28"/>
            <w:szCs w:val="28"/>
            <w:u w:val="single"/>
          </w:rPr>
          <w:t>https://cyberleninka.ru/article/n/effektivnost-ispolzovaniya-selskohozyaystvennyh-zemel-v-kazahstane</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Речкин Сергей Васильевич, Хлопко Юрий Александрович, Огородников Пётр Иванович Цифровые технологии в организации пастбищного животноводства // Известия ОГАУ. 2019. №6 (80). URL: </w:t>
      </w:r>
      <w:hyperlink r:id="rId37">
        <w:r>
          <w:rPr>
            <w:rStyle w:val="ListLabel37"/>
            <w:rFonts w:eastAsia="Times New Roman" w:cs="Times New Roman" w:ascii="Times New Roman" w:hAnsi="Times New Roman"/>
            <w:color w:val="1155CC"/>
            <w:sz w:val="28"/>
            <w:szCs w:val="28"/>
            <w:u w:val="single"/>
          </w:rPr>
          <w:t>https://cyberleninka.ru/article/n/tsifrovye-tehnologii-v-organizatsii-pastbischnogo-zhivotnovodstva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Jansen V. [и др.]. Monitoring grazing use: Strategies for leveraging technology and adapting to variability // Rangelands. 2022. Т. 44. № 1. C. 64–77. URL: </w:t>
      </w:r>
      <w:hyperlink r:id="rId38">
        <w:r>
          <w:rPr>
            <w:rStyle w:val="ListLabel37"/>
            <w:rFonts w:eastAsia="Times New Roman" w:cs="Times New Roman" w:ascii="Times New Roman" w:hAnsi="Times New Roman"/>
            <w:color w:val="1155CC"/>
            <w:sz w:val="28"/>
            <w:szCs w:val="28"/>
            <w:u w:val="single"/>
          </w:rPr>
          <w:t xml:space="preserve">https://www.sciencedirect.com/science/article/pii/S0190052821000687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Ali I. [и др.]. Satellite remote sensing of grasslands: from observation to management // Journal of Plant Ecology. 2016. Т. 9. № 6. C. 649–671. URL: </w:t>
      </w:r>
      <w:hyperlink r:id="rId39">
        <w:r>
          <w:rPr>
            <w:rStyle w:val="ListLabel37"/>
            <w:rFonts w:eastAsia="Times New Roman" w:cs="Times New Roman" w:ascii="Times New Roman" w:hAnsi="Times New Roman"/>
            <w:color w:val="1155CC"/>
            <w:sz w:val="28"/>
            <w:szCs w:val="28"/>
            <w:u w:val="single"/>
          </w:rPr>
          <w:t>https://academic.oup.com/jpe/article/9/6/649/2623732</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Muminov A. [и др.]. Modern Virtual Fencing Application: Monitoring and Controlling Behavior of Goats Using GPS Collars and Warning Signals // Sensors. 2019. Т. 19. № 7. C. 1598. URL: </w:t>
      </w:r>
      <w:hyperlink r:id="rId40">
        <w:r>
          <w:rPr>
            <w:rStyle w:val="ListLabel37"/>
            <w:rFonts w:eastAsia="Times New Roman" w:cs="Times New Roman" w:ascii="Times New Roman" w:hAnsi="Times New Roman"/>
            <w:color w:val="1155CC"/>
            <w:sz w:val="28"/>
            <w:szCs w:val="28"/>
            <w:u w:val="single"/>
          </w:rPr>
          <w:t>https://www.mdpi.com/1424-8220/19/7/1598</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Marini D. [и др.]. Controlling Within-Field Sheep Movement Using Virtual Fencing // Animals. 2018. Т. 8. № 3. C. 31. URL: </w:t>
      </w:r>
      <w:hyperlink r:id="rId41">
        <w:r>
          <w:rPr>
            <w:rStyle w:val="ListLabel37"/>
            <w:rFonts w:eastAsia="Times New Roman" w:cs="Times New Roman" w:ascii="Times New Roman" w:hAnsi="Times New Roman"/>
            <w:color w:val="1155CC"/>
            <w:sz w:val="28"/>
            <w:szCs w:val="28"/>
            <w:u w:val="single"/>
          </w:rPr>
          <w:t>https://www.mdpi.com/2076-2615/8/3/31</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Campbell D. L. M. [и др.]. The application of virtual fencing technology effectively herds cattle and sheep // Animal Production Science. 2021. Т. 61. № 13. C. 1393. URL: </w:t>
      </w:r>
      <w:hyperlink r:id="rId42">
        <w:r>
          <w:rPr>
            <w:rStyle w:val="ListLabel37"/>
            <w:rFonts w:eastAsia="Times New Roman" w:cs="Times New Roman" w:ascii="Times New Roman" w:hAnsi="Times New Roman"/>
            <w:color w:val="1155CC"/>
            <w:sz w:val="28"/>
            <w:szCs w:val="28"/>
            <w:u w:val="single"/>
          </w:rPr>
          <w:t>https://www.publish.csiro.au/an/AN20525</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Л. Д. Немцева, Е. И. Голубева Данные дистанционного зондирования и наземного спектрометрирования в исследовании состояния растительности степей в условиях выпаса // Проблемы региональной экологии. 2018. №4. URL: </w:t>
      </w:r>
      <w:hyperlink r:id="rId43">
        <w:r>
          <w:rPr>
            <w:rStyle w:val="ListLabel37"/>
            <w:rFonts w:eastAsia="Times New Roman" w:cs="Times New Roman" w:ascii="Times New Roman" w:hAnsi="Times New Roman"/>
            <w:color w:val="1155CC"/>
            <w:sz w:val="28"/>
            <w:szCs w:val="28"/>
            <w:u w:val="single"/>
          </w:rPr>
          <w:t>https://cyberleninka.ru/article/n/dannye-distantsionnogo-zondirovaniya-i-nazemnogo-spektrometrirovaniya-v-issledovanii-sostoyaniya-rastitelnosti-stepey-v-usloviyah</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Н. Г. Лапенко, Ф. В. Ерошенко, И. Г. Сторчак, Л. В. Дудченко, Е. О. Шестакова Деградационные процессы в степных сообществах и данные дистанционного зондирования Земли // Достижения науки и техники АПК. 2018. №10. URL: </w:t>
      </w:r>
      <w:hyperlink r:id="rId44">
        <w:r>
          <w:rPr>
            <w:rStyle w:val="ListLabel37"/>
            <w:rFonts w:eastAsia="Times New Roman" w:cs="Times New Roman" w:ascii="Times New Roman" w:hAnsi="Times New Roman"/>
            <w:color w:val="1155CC"/>
            <w:sz w:val="28"/>
            <w:szCs w:val="28"/>
            <w:u w:val="single"/>
          </w:rPr>
          <w:t>https://cyberleninka.ru/article/n/degradatsionnye-protsessy-v-stepnyh-soobschestvah-i-dannye-distantsionnogo-zondirovaniya-zemli</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Ерошенко Фёдор Владимирович, Лапенко Нина Григорьевна, Сторчак Ирина Геннадьевна Использование данных дистанционного зондирования земли для оценки состояния и степени деградации естественных пастбищных угодий // Известия ОГАУ. 2018. №5 (73). URL: </w:t>
      </w:r>
      <w:hyperlink r:id="rId45">
        <w:r>
          <w:rPr>
            <w:rStyle w:val="ListLabel37"/>
            <w:rFonts w:eastAsia="Times New Roman" w:cs="Times New Roman" w:ascii="Times New Roman" w:hAnsi="Times New Roman"/>
            <w:color w:val="1155CC"/>
            <w:sz w:val="28"/>
            <w:szCs w:val="28"/>
            <w:u w:val="single"/>
          </w:rPr>
          <w:t>https://cyberleninka.ru/article/n/ispolzovanie-dannyh-distantsionnogo-zondirovaniya-zemli-dlya-otsenki-sostoyaniya-i-stepeni-degradatsii-estestvennyh-pastbischnyh</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Комаров А.А. Оценка состояния травостоя c помощью вегетационного индекса NDVI // Известия СПбГАУ. 2018. №2 (51). URL: </w:t>
      </w:r>
      <w:hyperlink r:id="rId46">
        <w:r>
          <w:rPr>
            <w:rStyle w:val="ListLabel37"/>
            <w:rFonts w:eastAsia="Times New Roman" w:cs="Times New Roman" w:ascii="Times New Roman" w:hAnsi="Times New Roman"/>
            <w:color w:val="1155CC"/>
            <w:sz w:val="28"/>
            <w:szCs w:val="28"/>
            <w:u w:val="single"/>
          </w:rPr>
          <w:t>https://cyberleninka.ru/article/n/otsenka-sostoyaniya-travostoya-c-pomoschyu-vegetatsionnogo-indeksa-ndvi</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Комаров Андрей Алексеевич, Кирсанов Андрей Дмитриевич, Малашин Сергей Николаевич Сравнительная характеристика различных вегетационных индексов при оценке состояния растительного покрова кормовых трав // Известия СПбГАУ. 2021. №2 (63). URL: </w:t>
      </w:r>
      <w:hyperlink r:id="rId47">
        <w:r>
          <w:rPr>
            <w:rStyle w:val="ListLabel37"/>
            <w:rFonts w:eastAsia="Times New Roman" w:cs="Times New Roman" w:ascii="Times New Roman" w:hAnsi="Times New Roman"/>
            <w:color w:val="1155CC"/>
            <w:sz w:val="28"/>
            <w:szCs w:val="28"/>
            <w:u w:val="single"/>
          </w:rPr>
          <w:t>https://cyberleninka.ru/article/n/sravnitelnaya-harakteristika-razlichnyh-vegetatsionnyh-indeksov-pri-otsenke-sostoyaniya-rastitelnogo-pokrova-kormovyh-trav</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Liu Q. [и др.]. Identification of impact factors for differentiated patterns of NDVI change in the headwater source region of Brahmaputra and Indus, Southwestern Tibetan Plateau // Ecological Indicators. 2021. Т. 125. C. 107604. URL: </w:t>
      </w:r>
      <w:hyperlink r:id="rId48">
        <w:r>
          <w:rPr>
            <w:rStyle w:val="ListLabel37"/>
            <w:rFonts w:eastAsia="Times New Roman" w:cs="Times New Roman" w:ascii="Times New Roman" w:hAnsi="Times New Roman"/>
            <w:color w:val="1155CC"/>
            <w:sz w:val="28"/>
            <w:szCs w:val="28"/>
            <w:u w:val="single"/>
          </w:rPr>
          <w:t xml:space="preserve">https://www.sciencedirect.com/science/article/pii/S1470160X21002697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Donald G. E., Scott J. M., Vickery P. J. Satellite derived evidence of whole farmlet and paddock responses to management and climate // Animal Production Science. 2013. Т. 53. № 8. C. 699. URL: </w:t>
      </w:r>
      <w:hyperlink r:id="rId49">
        <w:r>
          <w:rPr>
            <w:rStyle w:val="ListLabel37"/>
            <w:rFonts w:eastAsia="Times New Roman" w:cs="Times New Roman" w:ascii="Times New Roman" w:hAnsi="Times New Roman"/>
            <w:color w:val="1155CC"/>
            <w:sz w:val="28"/>
            <w:szCs w:val="28"/>
            <w:u w:val="single"/>
          </w:rPr>
          <w:t>https://www.semanticscholar.org/paper/Satellite-derived-evidence-of-whole-farmlet-and-to-Donald-Scott/29da581d80459bdd3e0b10faeb1877deada3f43d</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Wang J. [и др.]. Using Sensors and Unmanned Aircraft Systems for High-Throughput Phenotyping of Biomass in Perennial Ryegrass Breeding Trials // Frontiers in Plant Science. 2019. Т. 10. URL: </w:t>
      </w:r>
      <w:hyperlink r:id="rId50">
        <w:r>
          <w:rPr>
            <w:rStyle w:val="ListLabel37"/>
            <w:rFonts w:eastAsia="Times New Roman" w:cs="Times New Roman" w:ascii="Times New Roman" w:hAnsi="Times New Roman"/>
            <w:color w:val="1155CC"/>
            <w:sz w:val="28"/>
            <w:szCs w:val="28"/>
            <w:u w:val="single"/>
          </w:rPr>
          <w:t>https://www.researchgate.net/publication/336895622_Using_Sensors_and_Unmanned_Aircraft_Systems_for_High-Throughput_Phenotyping_of_Biomass_in_Perennial_Ryegrass_Breeding_Trials</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Gebremedhin A. [и др.]. Development and Validation of a Model to Combine NDVI and Plant Height for High-Throughput Phenotyping of Herbage Yield in a Perennial Ryegrass Breeding Program // Remote Sensing. 2019. Т. 11. № 21. C. 2494. URL: </w:t>
      </w:r>
      <w:hyperlink r:id="rId51">
        <w:r>
          <w:rPr>
            <w:rStyle w:val="ListLabel37"/>
            <w:rFonts w:eastAsia="Times New Roman" w:cs="Times New Roman" w:ascii="Times New Roman" w:hAnsi="Times New Roman"/>
            <w:color w:val="1155CC"/>
            <w:sz w:val="28"/>
            <w:szCs w:val="28"/>
            <w:u w:val="single"/>
          </w:rPr>
          <w:t xml:space="preserve">https://www.researchgate.net/publication/336812017_Development_and_Validation_of_a_Model_to_Combine_NDVI_and_Plant_Height_for_High-Throughput_Phenotyping_of_Herbage_Yield_in_a_Perennial_Ryegrass_Breeding_Program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Harmse C. J., Gerber H., Niekerk A. van Evaluating Several Vegetation Indices Derived from Sentinel-2 Imagery for Quantifying Localized Overgrazing in a Semi-Arid Region of South Africa // Remote Sensing. 2022. Т. 14. № 7. C. 1720. URL: </w:t>
      </w:r>
      <w:hyperlink r:id="rId52">
        <w:r>
          <w:rPr>
            <w:rStyle w:val="ListLabel37"/>
            <w:rFonts w:eastAsia="Times New Roman" w:cs="Times New Roman" w:ascii="Times New Roman" w:hAnsi="Times New Roman"/>
            <w:color w:val="1155CC"/>
            <w:sz w:val="28"/>
            <w:szCs w:val="28"/>
            <w:u w:val="single"/>
          </w:rPr>
          <w:t>https://www.researchgate.net/publication/359701923_Evaluating_Several_Vegetation_Indices_Derived_from_Sentinel-2_Imagery_for_Quantifying_Localized_Overgrazing_in_a_Semi-Arid_Region_of_South_Africa</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Balata D. [и др.]. Using Satellite NDVI Time-Series to Monitor Grazing Effects on Vegetation Productivity and Phenology in Heterogeneous Mediterranean Forests // Remote Sensing. 2022. Т. 14. № 10. C. 2322. URL: </w:t>
      </w:r>
      <w:hyperlink r:id="rId53">
        <w:r>
          <w:rPr>
            <w:rStyle w:val="ListLabel37"/>
            <w:rFonts w:eastAsia="Times New Roman" w:cs="Times New Roman" w:ascii="Times New Roman" w:hAnsi="Times New Roman"/>
            <w:color w:val="1155CC"/>
            <w:sz w:val="28"/>
            <w:szCs w:val="28"/>
            <w:u w:val="single"/>
          </w:rPr>
          <w:t>https://www.researchgate.net/publication/360569201_Using_Satellite_NDVI_Time-Series_to_Monitor_Grazing_Effects_on_Vegetation_Productivity_and_Phenology_in_Heterogeneous_Mediterranean_Forests</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Zhou W. [и др.]. Remote sensing inversion of grassland aboveground biomass based on high accuracy surface modeling // Ecological Indicators. 2021. Т. 121. C. 107215. URL: </w:t>
      </w:r>
      <w:hyperlink r:id="rId54">
        <w:r>
          <w:rPr>
            <w:rStyle w:val="ListLabel37"/>
            <w:rFonts w:eastAsia="Times New Roman" w:cs="Times New Roman" w:ascii="Times New Roman" w:hAnsi="Times New Roman"/>
            <w:color w:val="1155CC"/>
            <w:sz w:val="28"/>
            <w:szCs w:val="28"/>
            <w:u w:val="single"/>
          </w:rPr>
          <w:t>https://www.sciencedirect.com/science/article/pii/S1470160X20311547</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Zhao L. [и др.]. A new AG-AGB estimation model based on MODIS and SRTM data in Qinghai Province, China // Ecological Indicators. 2021. Т. 133. C. 108378. URL: </w:t>
      </w:r>
      <w:hyperlink r:id="rId55">
        <w:r>
          <w:rPr>
            <w:rStyle w:val="ListLabel37"/>
            <w:rFonts w:eastAsia="Times New Roman" w:cs="Times New Roman" w:ascii="Times New Roman" w:hAnsi="Times New Roman"/>
            <w:color w:val="1155CC"/>
            <w:sz w:val="28"/>
            <w:szCs w:val="28"/>
            <w:u w:val="single"/>
          </w:rPr>
          <w:t xml:space="preserve">https://www.sciencedirect.com/science/article/pii/S1470160X21010438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Erlandsson R. [и др.]. An artificial intelligence approach to remotely assess pale lichen biomass // Remote Sensing of Environment. 2022. Т. 280. C. 113201. URL: </w:t>
      </w:r>
      <w:hyperlink r:id="rId56">
        <w:r>
          <w:rPr>
            <w:rStyle w:val="ListLabel37"/>
            <w:rFonts w:eastAsia="Times New Roman" w:cs="Times New Roman" w:ascii="Times New Roman" w:hAnsi="Times New Roman"/>
            <w:color w:val="1155CC"/>
            <w:sz w:val="28"/>
            <w:szCs w:val="28"/>
            <w:u w:val="single"/>
          </w:rPr>
          <w:t>https://www.sciencedirect.com/science/article/pii/S003442572200311X</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Lobert F. [и др.]. Mowing event detection in permanent grasslands: Systematic evaluation of input features from Sentinel-1, Sentinel-2, and Landsat 8 time series // Remote Sensing of Environment. 2021. Т. 267. C. 112751. URL: </w:t>
      </w:r>
      <w:hyperlink r:id="rId57">
        <w:r>
          <w:rPr>
            <w:rStyle w:val="ListLabel37"/>
            <w:rFonts w:eastAsia="Times New Roman" w:cs="Times New Roman" w:ascii="Times New Roman" w:hAnsi="Times New Roman"/>
            <w:color w:val="1155CC"/>
            <w:sz w:val="28"/>
            <w:szCs w:val="28"/>
            <w:u w:val="single"/>
          </w:rPr>
          <w:t>https://www.sciencedirect.com/science/article/pii/S0034425721004715</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Dou P. [и др.]. Time series remote sensing image classification framework using combination of deep learning and multiple classifiers system // International Journal of Applied Earth Observation and Geoinformation. 2021. Т. 103. C. 102477. URL: </w:t>
      </w:r>
      <w:hyperlink r:id="rId58">
        <w:r>
          <w:rPr>
            <w:rStyle w:val="ListLabel37"/>
            <w:rFonts w:eastAsia="Times New Roman" w:cs="Times New Roman" w:ascii="Times New Roman" w:hAnsi="Times New Roman"/>
            <w:color w:val="1155CC"/>
            <w:sz w:val="28"/>
            <w:szCs w:val="28"/>
            <w:u w:val="single"/>
          </w:rPr>
          <w:t>https://www.sciencedirect.com/science/article/pii/S0303243421001847</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Dusseux P. [и др.]. Monitoring of grassland productivity using Sentinel-2 remote sensing data // International Journal of Applied Earth Observation and Geoinformation. 2022. Т. 111. C. 102843. URL: </w:t>
      </w:r>
      <w:hyperlink r:id="rId59">
        <w:r>
          <w:rPr>
            <w:rStyle w:val="ListLabel37"/>
            <w:rFonts w:eastAsia="Times New Roman" w:cs="Times New Roman" w:ascii="Times New Roman" w:hAnsi="Times New Roman"/>
            <w:color w:val="1155CC"/>
            <w:sz w:val="28"/>
            <w:szCs w:val="28"/>
            <w:u w:val="single"/>
          </w:rPr>
          <w:t xml:space="preserve">https://www.sciencedirect.com/science/article/pii/S1569843222000450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Olsen J. L. [и др.]. Does EO NDVI seasonal metrics capture variations in species composition and biomass due to grazing in semi-arid grassland savannas? // Biogeosciences. 2015. Т. 12. № 14. C. 4407–4419. URL: </w:t>
      </w:r>
      <w:hyperlink r:id="rId60">
        <w:r>
          <w:rPr>
            <w:rStyle w:val="ListLabel37"/>
            <w:rFonts w:eastAsia="Times New Roman" w:cs="Times New Roman" w:ascii="Times New Roman" w:hAnsi="Times New Roman"/>
            <w:color w:val="1155CC"/>
            <w:sz w:val="28"/>
            <w:szCs w:val="28"/>
            <w:u w:val="single"/>
          </w:rPr>
          <w:t>https://bg.copernicus.org/articles/12/4407/2015/</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Ndungu L. [и др.]. Application of MODIS NDVI for Monitoring Kenyan Rangelands Through a Web Based Decision Support Tool // Frontiers in Environmental Science. 2019. Т. 7. URL: </w:t>
      </w:r>
      <w:hyperlink r:id="rId61">
        <w:r>
          <w:rPr>
            <w:rStyle w:val="ListLabel37"/>
            <w:rFonts w:eastAsia="Times New Roman" w:cs="Times New Roman" w:ascii="Times New Roman" w:hAnsi="Times New Roman"/>
            <w:color w:val="1155CC"/>
            <w:sz w:val="28"/>
            <w:szCs w:val="28"/>
            <w:u w:val="single"/>
          </w:rPr>
          <w:t xml:space="preserve">https://www.frontiersin.org/articles/10.3389/fenvs.2019.00187/full </w:t>
        </w:r>
      </w:hyperlink>
      <w:r>
        <w:rPr>
          <w:rFonts w:eastAsia="Times New Roman" w:cs="Times New Roman" w:ascii="Times New Roman" w:hAnsi="Times New Roman"/>
          <w:sz w:val="28"/>
          <w:szCs w:val="28"/>
        </w:rPr>
        <w:t>(дата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BROWNING D. M. [и др.]. Integrating space and time: a case for phenological context in grazing studies and management // Frontiers of Agricultural Science and Engineering. 2018. Т. 5. № 1. C. 44. URL: </w:t>
      </w:r>
      <w:hyperlink r:id="rId62">
        <w:r>
          <w:rPr>
            <w:rStyle w:val="ListLabel37"/>
            <w:rFonts w:eastAsia="Times New Roman" w:cs="Times New Roman" w:ascii="Times New Roman" w:hAnsi="Times New Roman"/>
            <w:color w:val="1155CC"/>
            <w:sz w:val="28"/>
            <w:szCs w:val="28"/>
            <w:u w:val="single"/>
          </w:rPr>
          <w:t>https://journal.hep.com.cn/fase/EN/10.15302/J-FASE-2017193</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pPr>
      <w:r>
        <w:rPr>
          <w:rFonts w:eastAsia="Times New Roman" w:cs="Times New Roman" w:ascii="Times New Roman" w:hAnsi="Times New Roman"/>
          <w:sz w:val="28"/>
          <w:szCs w:val="28"/>
        </w:rPr>
        <w:t xml:space="preserve">Richardson W. [и др.]. Changes in Meadow Phenology in Response to Grazing Management at Multiple Scales of Measurement // Remote Sensing. 2021. Т. 13. № 20. C. 4028. URL: </w:t>
      </w:r>
      <w:hyperlink r:id="rId63">
        <w:r>
          <w:rPr>
            <w:rStyle w:val="ListLabel37"/>
            <w:rFonts w:eastAsia="Times New Roman" w:cs="Times New Roman" w:ascii="Times New Roman" w:hAnsi="Times New Roman"/>
            <w:color w:val="1155CC"/>
            <w:sz w:val="28"/>
            <w:szCs w:val="28"/>
            <w:u w:val="single"/>
          </w:rPr>
          <w:t>https://www.mdpi.com/2072-4292/13/20/4028</w:t>
        </w:r>
      </w:hyperlink>
      <w:r>
        <w:rPr>
          <w:rFonts w:eastAsia="Times New Roman" w:cs="Times New Roman" w:ascii="Times New Roman" w:hAnsi="Times New Roman"/>
          <w:sz w:val="28"/>
          <w:szCs w:val="28"/>
        </w:rPr>
        <w:t xml:space="preserve"> (дата обращения: 11.12.2022).</w:t>
      </w:r>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Сводный аналитический отчет Комитета по управлению земельными ресурсами МСХ РК «О состоянии и использовании земель РК за 1 ноября 2021 г.</w:t>
      </w:r>
    </w:p>
    <w:p>
      <w:pPr>
        <w:pStyle w:val="Normal1"/>
        <w:numPr>
          <w:ilvl w:val="0"/>
          <w:numId w:val="2"/>
        </w:numPr>
        <w:ind w:left="720" w:hanging="360"/>
        <w:rPr/>
      </w:pPr>
      <w:r>
        <w:rPr>
          <w:rFonts w:eastAsia="Times New Roman" w:cs="Times New Roman" w:ascii="Times New Roman" w:hAnsi="Times New Roman"/>
          <w:sz w:val="28"/>
          <w:szCs w:val="28"/>
        </w:rPr>
        <w:t xml:space="preserve">Калдыбаев С., Ержанова К., Ертаева Ж., Абдирахымов Н., Рустемов Б. СОВРЕМЕННОЕ СОСТОЯНИЕ ПАСТБИЩ РЕСПУБЛИКИ КАЗАХСТАН И ПУТИ ИХ ЭФФЕКТИВНОГО ИСПОЛЬЗОВАНИЯ. Почвоведение и агрохимия. 2021;(1):14-30. </w:t>
      </w:r>
      <w:hyperlink r:id="rId64">
        <w:r>
          <w:rPr>
            <w:rStyle w:val="ListLabel37"/>
            <w:rFonts w:eastAsia="Times New Roman" w:cs="Times New Roman" w:ascii="Times New Roman" w:hAnsi="Times New Roman"/>
            <w:color w:val="1155CC"/>
            <w:sz w:val="28"/>
            <w:szCs w:val="28"/>
            <w:u w:val="single"/>
          </w:rPr>
          <w:t>https://doi.org/10.51886/1999-740X_2021_1_14</w:t>
        </w:r>
      </w:hyperlink>
    </w:p>
    <w:p>
      <w:pPr>
        <w:pStyle w:val="Normal1"/>
        <w:numPr>
          <w:ilvl w:val="0"/>
          <w:numId w:val="2"/>
        </w:numPr>
        <w:ind w:left="720" w:hanging="360"/>
        <w:rPr>
          <w:rFonts w:ascii="Times New Roman" w:hAnsi="Times New Roman" w:eastAsia="Times New Roman" w:cs="Times New Roman"/>
          <w:sz w:val="28"/>
          <w:szCs w:val="28"/>
        </w:rPr>
      </w:pPr>
      <w:r>
        <w:rPr>
          <w:rFonts w:eastAsia="Times New Roman" w:cs="Times New Roman" w:ascii="Times New Roman" w:hAnsi="Times New Roman"/>
          <w:sz w:val="28"/>
          <w:szCs w:val="28"/>
        </w:rPr>
        <w:t>Материалы II Всероссийской научной конференции с международным участием «Применение средств дистанционного зондирования Земли в сельском хозяйстве». Санкт-Петербург, 26–28 сентября 2018 г. – СПб.: ФГБНУ АФИ, 2018. – 390 с.</w:t>
      </w:r>
    </w:p>
    <w:p>
      <w:pPr>
        <w:pStyle w:val="Normal1"/>
        <w:numPr>
          <w:ilvl w:val="0"/>
          <w:numId w:val="2"/>
        </w:numPr>
        <w:ind w:left="720" w:hanging="360"/>
        <w:rPr/>
      </w:pPr>
      <w:r>
        <w:rPr>
          <w:rFonts w:eastAsia="Times New Roman" w:cs="Times New Roman" w:ascii="Times New Roman" w:hAnsi="Times New Roman"/>
          <w:sz w:val="28"/>
          <w:szCs w:val="28"/>
        </w:rPr>
        <w:t xml:space="preserve">Основные правила организации и проведения пастбищного периода содержания крупного рогатого скота[Электронный ресурс]: (дата публикации 03.05.2018) // Агровестник. URL: </w:t>
      </w:r>
      <w:hyperlink r:id="rId65">
        <w:r>
          <w:rPr>
            <w:rStyle w:val="ListLabel37"/>
            <w:rFonts w:eastAsia="Times New Roman" w:cs="Times New Roman" w:ascii="Times New Roman" w:hAnsi="Times New Roman"/>
            <w:color w:val="1155CC"/>
            <w:sz w:val="28"/>
            <w:szCs w:val="28"/>
            <w:u w:val="single"/>
          </w:rPr>
          <w:t>https://agrovesti.net/lib/tech/cattle-tech/osnovnye-pravila-organizatsii-i-provedeniya-pastbishchnogo-perioda-soderzhaniya-krupnogo-rogatogo-skota.html.</w:t>
        </w:r>
      </w:hyperlink>
      <w:r>
        <w:rPr>
          <w:rFonts w:eastAsia="Times New Roman" w:cs="Times New Roman" w:ascii="Times New Roman" w:hAnsi="Times New Roman"/>
          <w:sz w:val="28"/>
          <w:szCs w:val="28"/>
        </w:rPr>
        <w:t xml:space="preserve"> (дата обращения: 17.12.2022)</w:t>
      </w:r>
    </w:p>
    <w:p>
      <w:pPr>
        <w:pStyle w:val="Normal1"/>
        <w:numPr>
          <w:ilvl w:val="0"/>
          <w:numId w:val="2"/>
        </w:numPr>
        <w:ind w:left="720" w:hanging="360"/>
        <w:rPr/>
      </w:pPr>
      <w:r>
        <w:rPr>
          <w:rFonts w:eastAsia="Times New Roman" w:cs="Times New Roman" w:ascii="Times New Roman" w:hAnsi="Times New Roman"/>
          <w:sz w:val="28"/>
          <w:szCs w:val="28"/>
        </w:rPr>
        <w:t xml:space="preserve">Умбиталиев А.Д. РАЗВИТИЕ ЖИВОТНОВОДСТВА В КАЗАХСТАНЕ // Успехи современного естествознания. – 2013. – № 11. – С. 174-177. URL: </w:t>
      </w:r>
      <w:hyperlink r:id="rId66">
        <w:r>
          <w:rPr>
            <w:rStyle w:val="ListLabel37"/>
            <w:rFonts w:eastAsia="Times New Roman" w:cs="Times New Roman" w:ascii="Times New Roman" w:hAnsi="Times New Roman"/>
            <w:color w:val="1155CC"/>
            <w:sz w:val="28"/>
            <w:szCs w:val="28"/>
            <w:u w:val="single"/>
          </w:rPr>
          <w:t>https://natural-sciences.ru/ru/article/view?id=33144</w:t>
        </w:r>
      </w:hyperlink>
      <w:r>
        <w:rPr>
          <w:rFonts w:eastAsia="Times New Roman" w:cs="Times New Roman" w:ascii="Times New Roman" w:hAnsi="Times New Roman"/>
          <w:sz w:val="28"/>
          <w:szCs w:val="28"/>
        </w:rPr>
        <w:t xml:space="preserve"> (дата обращения: 17.12.2022).</w:t>
      </w:r>
    </w:p>
    <w:p>
      <w:pPr>
        <w:pStyle w:val="Normal1"/>
        <w:numPr>
          <w:ilvl w:val="0"/>
          <w:numId w:val="2"/>
        </w:numPr>
        <w:ind w:left="720" w:hanging="360"/>
        <w:rPr/>
      </w:pPr>
      <w:r>
        <w:rPr>
          <w:rFonts w:eastAsia="Times New Roman" w:cs="Times New Roman" w:ascii="Times New Roman" w:hAnsi="Times New Roman"/>
          <w:sz w:val="28"/>
          <w:szCs w:val="28"/>
        </w:rPr>
        <w:t xml:space="preserve">Животноводство Казахстана: сверхценная идея агропрома [Электронный ресурс]: (дата публикации: 05.03.2020) // Eldala.kz. URL: </w:t>
      </w:r>
      <w:hyperlink r:id="rId67">
        <w:r>
          <w:rPr>
            <w:rStyle w:val="ListLabel37"/>
            <w:rFonts w:eastAsia="Times New Roman" w:cs="Times New Roman" w:ascii="Times New Roman" w:hAnsi="Times New Roman"/>
            <w:color w:val="1155CC"/>
            <w:sz w:val="28"/>
            <w:szCs w:val="28"/>
            <w:u w:val="single"/>
          </w:rPr>
          <w:t>https://eldala.kz/specproekty/194-zhivotnovodstvo-kazahstana-sverhcennaya-ideya-agroproma</w:t>
        </w:r>
      </w:hyperlink>
      <w:r>
        <w:rPr>
          <w:rFonts w:eastAsia="Times New Roman" w:cs="Times New Roman" w:ascii="Times New Roman" w:hAnsi="Times New Roman"/>
          <w:sz w:val="28"/>
          <w:szCs w:val="28"/>
        </w:rPr>
        <w:t xml:space="preserve"> (дата обращения: 17.12.2022) </w:t>
      </w:r>
    </w:p>
    <w:p>
      <w:pPr>
        <w:pStyle w:val="Normal1"/>
        <w:numPr>
          <w:ilvl w:val="0"/>
          <w:numId w:val="2"/>
        </w:numPr>
        <w:ind w:left="720" w:hanging="360"/>
        <w:rPr/>
      </w:pPr>
      <w:r>
        <w:rPr>
          <w:rFonts w:eastAsia="Times New Roman" w:cs="Times New Roman" w:ascii="Times New Roman" w:hAnsi="Times New Roman"/>
          <w:sz w:val="28"/>
          <w:szCs w:val="28"/>
        </w:rPr>
        <w:t xml:space="preserve">Правильное использование пастбищ [Электронный ресурс] // Зооинженерный факультет МСХА. © Зооинженерный факультет МСХА URL:  </w:t>
      </w:r>
      <w:hyperlink r:id="rId68">
        <w:r>
          <w:rPr>
            <w:rStyle w:val="ListLabel37"/>
            <w:rFonts w:eastAsia="Times New Roman" w:cs="Times New Roman" w:ascii="Times New Roman" w:hAnsi="Times New Roman"/>
            <w:color w:val="1155CC"/>
            <w:sz w:val="28"/>
            <w:szCs w:val="28"/>
            <w:u w:val="single"/>
          </w:rPr>
          <w:t>https://www.activestudy.info/pravilnoe-ispolzovanie-pastbishh/</w:t>
        </w:r>
      </w:hyperlink>
      <w:r>
        <w:rPr>
          <w:rFonts w:eastAsia="Times New Roman" w:cs="Times New Roman" w:ascii="Times New Roman" w:hAnsi="Times New Roman"/>
          <w:sz w:val="28"/>
          <w:szCs w:val="28"/>
        </w:rPr>
        <w:t xml:space="preserve"> (дата обращения: 17.12.2022)</w:t>
      </w:r>
    </w:p>
    <w:p>
      <w:pPr>
        <w:pStyle w:val="Normal1"/>
        <w:numPr>
          <w:ilvl w:val="0"/>
          <w:numId w:val="2"/>
        </w:numPr>
        <w:ind w:left="720" w:hanging="360"/>
        <w:rPr/>
      </w:pPr>
      <w:r>
        <w:rPr>
          <w:rFonts w:eastAsia="Times New Roman" w:cs="Times New Roman" w:ascii="Times New Roman" w:hAnsi="Times New Roman"/>
          <w:sz w:val="28"/>
          <w:szCs w:val="28"/>
        </w:rPr>
        <w:t xml:space="preserve">Системы и способы использования пастбищ [Электронный ресурс]: (дата публикации: 24.10.2018) // Информационный некоммерческий ресурс industrial-wood.ru URL: </w:t>
      </w:r>
      <w:hyperlink r:id="rId69">
        <w:r>
          <w:rPr>
            <w:rStyle w:val="ListLabel37"/>
            <w:rFonts w:eastAsia="Times New Roman" w:cs="Times New Roman" w:ascii="Times New Roman" w:hAnsi="Times New Roman"/>
            <w:color w:val="1155CC"/>
            <w:sz w:val="28"/>
            <w:szCs w:val="28"/>
            <w:u w:val="single"/>
          </w:rPr>
          <w:t>https://industrial-wood.ru/osnovy-kormoproizvodstva-i-zhivotnovodstva/10084-sistemy-i-sposoby-ispolzovaniya-pastbisch.html</w:t>
        </w:r>
      </w:hyperlink>
      <w:r>
        <w:rPr>
          <w:rFonts w:eastAsia="Times New Roman" w:cs="Times New Roman" w:ascii="Times New Roman" w:hAnsi="Times New Roman"/>
          <w:sz w:val="28"/>
          <w:szCs w:val="28"/>
        </w:rPr>
        <w:t xml:space="preserve"> (дата обращения: 17.12.2022)</w:t>
      </w:r>
    </w:p>
    <w:p>
      <w:pPr>
        <w:pStyle w:val="Normal1"/>
        <w:numPr>
          <w:ilvl w:val="0"/>
          <w:numId w:val="2"/>
        </w:numPr>
        <w:ind w:left="720" w:hanging="360"/>
        <w:rPr/>
      </w:pPr>
      <w:r>
        <w:rPr>
          <w:rFonts w:eastAsia="Times New Roman" w:cs="Times New Roman" w:ascii="Times New Roman" w:hAnsi="Times New Roman"/>
          <w:sz w:val="28"/>
          <w:szCs w:val="28"/>
        </w:rPr>
        <w:t xml:space="preserve">Загонно-порционная система использования пастбищ [Электронный ресурс] // Зооинженерный факультет МСХА. © Зооинженерный факультет МСХА URL:  </w:t>
      </w:r>
      <w:hyperlink r:id="rId70">
        <w:r>
          <w:rPr>
            <w:rStyle w:val="ListLabel37"/>
            <w:rFonts w:eastAsia="Times New Roman" w:cs="Times New Roman" w:ascii="Times New Roman" w:hAnsi="Times New Roman"/>
            <w:color w:val="1155CC"/>
            <w:sz w:val="28"/>
            <w:szCs w:val="28"/>
            <w:u w:val="single"/>
          </w:rPr>
          <w:t>https://www.activestudy.info/pravilnoe-ispolzovanie-pastbishh/</w:t>
        </w:r>
      </w:hyperlink>
      <w:r>
        <w:rPr>
          <w:rFonts w:eastAsia="Times New Roman" w:cs="Times New Roman" w:ascii="Times New Roman" w:hAnsi="Times New Roman"/>
          <w:sz w:val="28"/>
          <w:szCs w:val="28"/>
        </w:rPr>
        <w:t xml:space="preserve"> (дата обращения: 17.12.2022)</w:t>
      </w:r>
    </w:p>
    <w:p>
      <w:pPr>
        <w:pStyle w:val="Normal1"/>
        <w:numPr>
          <w:ilvl w:val="0"/>
          <w:numId w:val="2"/>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Разработка инновационных методических подходов по применению современных цифровых технологий дистанционного мониторинга и зондирования в пастбищном животноводстве[Текст]: ФГБОУ-ВО-Ставропольский-ГАУ. Олейник С. А. ; исполн.: Трухачев В. И. [и др.]. – Ст., 2020. – 82 с. – № ГР АААА-А20-120100690042-7. – Инв. № АААА-Б21-221011400128-4.</w:t>
      </w:r>
    </w:p>
    <w:p>
      <w:pPr>
        <w:pStyle w:val="Normal1"/>
        <w:numPr>
          <w:ilvl w:val="0"/>
          <w:numId w:val="2"/>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Лекомцев П. В., Конев А. В., Воропаев В. В. ДИСТАНЦИОННЫЙ МОНИТОРИНГ ЗАСОРЕННОСТИ ПОСЕВОВ ЯРОВОЙ ПШЕНИЦЫ // ФГБНУ АФИ. 2018.</w:t>
      </w:r>
    </w:p>
    <w:p>
      <w:pPr>
        <w:pStyle w:val="Normal1"/>
        <w:ind w:left="0" w:hanging="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Arial">
    <w:charset w:val="cc"/>
    <w:family w:val="roman"/>
    <w:pitch w:val="variable"/>
  </w:font>
  <w:font w:name="Arial">
    <w:charset w:val="cc"/>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w:hAnsi="Wingdings" w:cs="Wingdings" w:hint="default"/>
        <w:u w:val="none"/>
      </w:rPr>
    </w:lvl>
    <w:lvl w:ilvl="2">
      <w:start w:val="1"/>
      <w:numFmt w:val="bullet"/>
      <w:lvlText w:val=""/>
      <w:lvlJc w:val="left"/>
      <w:pPr>
        <w:ind w:left="2160" w:hanging="360"/>
      </w:pPr>
      <w:rPr>
        <w:rFonts w:ascii="Wingdings" w:hAnsi="Wingdings" w:cs="Wingdings"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w:hAnsi="Wingdings" w:cs="Wingdings" w:hint="default"/>
        <w:u w:val="none"/>
      </w:rPr>
    </w:lvl>
    <w:lvl w:ilvl="5">
      <w:start w:val="1"/>
      <w:numFmt w:val="bullet"/>
      <w:lvlText w:val=""/>
      <w:lvlJc w:val="left"/>
      <w:pPr>
        <w:ind w:left="4320" w:hanging="360"/>
      </w:pPr>
      <w:rPr>
        <w:rFonts w:ascii="Wingdings" w:hAnsi="Wingdings" w:cs="Wingdings"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w:hAnsi="Wingdings" w:cs="Wingdings" w:hint="default"/>
        <w:u w:val="none"/>
      </w:rPr>
    </w:lvl>
    <w:lvl w:ilvl="8">
      <w:start w:val="1"/>
      <w:numFmt w:val="bullet"/>
      <w:lvlText w:val=""/>
      <w:lvlJc w:val="left"/>
      <w:pPr>
        <w:ind w:left="6480" w:hanging="360"/>
      </w:pPr>
      <w:rPr>
        <w:rFonts w:ascii="Wingdings" w:hAnsi="Wingdings" w:cs="Wingdings" w:hint="default"/>
        <w:u w:val="none"/>
      </w:rPr>
    </w:lvl>
  </w:abstractNum>
  <w:abstractNum w:abstractNumId="4">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rFonts w:ascii="Times New Roman" w:hAnsi="Times New Roman"/>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eastAsia="Times New Roman" w:cs="Times New Roman"/>
      <w:color w:val="1155CC"/>
      <w:sz w:val="28"/>
      <w:szCs w:val="28"/>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tentimages.storage.googleapis.com/0f/1c/e5/a6f29caee180f6/US20070288249A1.pdf" TargetMode="External"/><Relationship Id="rId3" Type="http://schemas.openxmlformats.org/officeDocument/2006/relationships/hyperlink" Target="https://patentscope.wipo.int/search/en/detail.jsf?docId=WO2020129056" TargetMode="External"/><Relationship Id="rId4" Type="http://schemas.openxmlformats.org/officeDocument/2006/relationships/hyperlink" Target="https://patentscope.wipo.int/search/ru/detail.jsf?docId=RU305244190&amp;_cid=P12-L2AAV7-37292-1" TargetMode="External"/><Relationship Id="rId5" Type="http://schemas.openxmlformats.org/officeDocument/2006/relationships/hyperlink" Target="https://patentscope.wipo.int/search/ru/detail.jsf?docId=RU97347769&amp;_cid=P12-L2AAV7-37292-1" TargetMode="External"/><Relationship Id="rId6" Type="http://schemas.openxmlformats.org/officeDocument/2006/relationships/hyperlink" Target="https://findpatent.ru/patent/271/2711806.html" TargetMode="External"/><Relationship Id="rId7" Type="http://schemas.openxmlformats.org/officeDocument/2006/relationships/hyperlink" Target="https://findpatent.ru/patent/270/2704851.html" TargetMode="External"/><Relationship Id="rId8" Type="http://schemas.openxmlformats.org/officeDocument/2006/relationships/hyperlink" Target="https://findpatent.ru/patent/271/2714735.html" TargetMode="External"/><Relationship Id="rId9" Type="http://schemas.openxmlformats.org/officeDocument/2006/relationships/hyperlink" Target="https://patenton.ru/patent/RU2645343C1" TargetMode="External"/><Relationship Id="rId10" Type="http://schemas.openxmlformats.org/officeDocument/2006/relationships/hyperlink" Target="https://findpatent.ru/patent/267/2675511.html" TargetMode="External"/><Relationship Id="rId11" Type="http://schemas.openxmlformats.org/officeDocument/2006/relationships/hyperlink" Target="https://findpatent.ru/patent/261/2614813.html" TargetMode="External"/><Relationship Id="rId12" Type="http://schemas.openxmlformats.org/officeDocument/2006/relationships/hyperlink" Target="https://findpatent.ru/patent/237/2379883.html" TargetMode="External"/><Relationship Id="rId13" Type="http://schemas.openxmlformats.org/officeDocument/2006/relationships/hyperlink" Target="https://patentscope.wipo.int/search/ru/detail.jsf?docId=RU92375087&amp;_cid=P12-L2AAV7-37292-1" TargetMode="External"/><Relationship Id="rId14" Type="http://schemas.openxmlformats.org/officeDocument/2006/relationships/hyperlink" Target="https://patentscope.wipo.int/search/ru/detail.jsf?docId=RU92334303&amp;_cid=P12-L2AAV7-37292-1" TargetMode="External"/><Relationship Id="rId15" Type="http://schemas.openxmlformats.org/officeDocument/2006/relationships/hyperlink" Target="https://worldwide.espacenet.com/patent/search/family/069405002/publication/US2020045931A1?q=pn%3DUS2020045931A1" TargetMode="External"/><Relationship Id="rId16" Type="http://schemas.openxmlformats.org/officeDocument/2006/relationships/hyperlink" Target="https://worldwide.espacenet.com/patent/search/family/075108758/publication/RS20201177A1?q=pn%3DRS20201177A1" TargetMode="External"/><Relationship Id="rId17" Type="http://schemas.openxmlformats.org/officeDocument/2006/relationships/hyperlink" Target="https://worldwide.espacenet.com/patent/search/family/067847732/publication/US2021267161A1?q=pn%3DUS2021267161A1" TargetMode="External"/><Relationship Id="rId18" Type="http://schemas.openxmlformats.org/officeDocument/2006/relationships/hyperlink" Target="https://worldwide.espacenet.com/patent/search/family/065678951/publication/RU187419U1?q=pn%3DRU187419U1" TargetMode="External"/><Relationship Id="rId19" Type="http://schemas.openxmlformats.org/officeDocument/2006/relationships/hyperlink" Target="https://worldwide.espacenet.com/patent/search/family/068617985/publication/US2020128785A1?q=pn%3DUS2020128785A1" TargetMode="External"/><Relationship Id="rId20" Type="http://schemas.openxmlformats.org/officeDocument/2006/relationships/hyperlink" Target="https://worldwide.espacenet.com/patent/search/family/044304457/publication/US2013008391A1?q=pn%3DUS2013008391A1" TargetMode="External"/><Relationship Id="rId21" Type="http://schemas.openxmlformats.org/officeDocument/2006/relationships/hyperlink" Target="https://worldwide.espacenet.com/patent/search/family/057111158/publication/US10098324B2?q=pn%3DUS10098324B2" TargetMode="External"/><Relationship Id="rId22" Type="http://schemas.openxmlformats.org/officeDocument/2006/relationships/hyperlink" Target="https://worldwide.espacenet.com/patent/search/family/066546232/publication/KR20190048161A?q=pn%3DKR20190048161A" TargetMode="External"/><Relationship Id="rId23" Type="http://schemas.openxmlformats.org/officeDocument/2006/relationships/hyperlink" Target="https://worldwide.espacenet.com/patent/search/family/072708733/publication/KR102159319B1?q=pn%3DKR102159319B1" TargetMode="External"/><Relationship Id="rId24" Type="http://schemas.openxmlformats.org/officeDocument/2006/relationships/hyperlink" Target="https://worldwide.espacenet.com/patent/search/family/072110285/publication/CN111567441A?q=pn%3DCN111567441A" TargetMode="External"/><Relationship Id="rId25" Type="http://schemas.openxmlformats.org/officeDocument/2006/relationships/hyperlink" Target="https://worldwide.espacenet.com/patent/search/family/060577514/publication/CN109640640A?q=pn%3DCN109640640A" TargetMode="External"/><Relationship Id="rId26" Type="http://schemas.openxmlformats.org/officeDocument/2006/relationships/hyperlink" Target="https://worldwide.espacenet.com/patent/search/family/074661151/publication/WO2021033732A1?q=pn%3DWO2021033732A1" TargetMode="External"/><Relationship Id="rId27" Type="http://schemas.openxmlformats.org/officeDocument/2006/relationships/hyperlink" Target="https://worldwide.espacenet.com/patent/search/family/068295839/publication/US2021059213A1?q=pn%3DUS2021059213A1" TargetMode="External"/><Relationship Id="rId28" Type="http://schemas.openxmlformats.org/officeDocument/2006/relationships/hyperlink" Target="https://worldwide.espacenet.com/patent/search/family/078994872/publication/CN113869848A?q=pn%3DCN113869848A" TargetMode="External"/><Relationship Id="rId29" Type="http://schemas.openxmlformats.org/officeDocument/2006/relationships/hyperlink" Target="https://www.sciencedirect.com/science/article/pii/S0022030221004811" TargetMode="External"/><Relationship Id="rId30" Type="http://schemas.openxmlformats.org/officeDocument/2006/relationships/hyperlink" Target="https://www.mdpi.com/2076-2615/9/7/429" TargetMode="External"/><Relationship Id="rId31" Type="http://schemas.openxmlformats.org/officeDocument/2006/relationships/hyperlink" Target="https://www.sciencedirect.com/science/article/pii/S002203022100480X" TargetMode="External"/><Relationship Id="rId32" Type="http://schemas.openxmlformats.org/officeDocument/2006/relationships/hyperlink" Target="https://www.sciencedirect.com/science/article/abs/pii/S0168169919309445" TargetMode="External"/><Relationship Id="rId33" Type="http://schemas.openxmlformats.org/officeDocument/2006/relationships/hyperlink" Target="https://www.frontiersin.org/articles/10.3389/fvets.2019.00445/full" TargetMode="External"/><Relationship Id="rId34" Type="http://schemas.openxmlformats.org/officeDocument/2006/relationships/hyperlink" Target="https://www.publish.csiro.au/an/AN21459" TargetMode="External"/><Relationship Id="rId35" Type="http://schemas.openxmlformats.org/officeDocument/2006/relationships/hyperlink" Target="https://cyberleninka.ru/article/n/primenenie-dannyh-distantsionnogo-zondirovaniya-dlya-monitoringa-ispolzovaniya-zemel-selskohozyaystvennogo-naznacheniya" TargetMode="External"/><Relationship Id="rId36" Type="http://schemas.openxmlformats.org/officeDocument/2006/relationships/hyperlink" Target="https://cyberleninka.ru/article/n/effektivnost-ispolzovaniya-selskohozyaystvennyh-zemel-v-kazahstane" TargetMode="External"/><Relationship Id="rId37" Type="http://schemas.openxmlformats.org/officeDocument/2006/relationships/hyperlink" Target="https://cyberleninka.ru/article/n/tsifrovye-tehnologii-v-organizatsii-pastbischnogo-zhivotnovodstva" TargetMode="External"/><Relationship Id="rId38" Type="http://schemas.openxmlformats.org/officeDocument/2006/relationships/hyperlink" Target="https://www.sciencedirect.com/science/article/pii/S0190052821000687" TargetMode="External"/><Relationship Id="rId39" Type="http://schemas.openxmlformats.org/officeDocument/2006/relationships/hyperlink" Target="https://academic.oup.com/jpe/article/9/6/649/2623732" TargetMode="External"/><Relationship Id="rId40" Type="http://schemas.openxmlformats.org/officeDocument/2006/relationships/hyperlink" Target="https://www.mdpi.com/1424-8220/19/7/1598" TargetMode="External"/><Relationship Id="rId41" Type="http://schemas.openxmlformats.org/officeDocument/2006/relationships/hyperlink" Target="https://www.mdpi.com/2076-2615/8/3/31" TargetMode="External"/><Relationship Id="rId42" Type="http://schemas.openxmlformats.org/officeDocument/2006/relationships/hyperlink" Target="https://www.publish.csiro.au/an/AN20525" TargetMode="External"/><Relationship Id="rId43" Type="http://schemas.openxmlformats.org/officeDocument/2006/relationships/hyperlink" Target="https://cyberleninka.ru/article/n/dannye-distantsionnogo-zondirovaniya-i-nazemnogo-spektrometrirovaniya-v-issledovanii-sostoyaniya-rastitelnosti-stepey-v-usloviyah" TargetMode="External"/><Relationship Id="rId44" Type="http://schemas.openxmlformats.org/officeDocument/2006/relationships/hyperlink" Target="https://cyberleninka.ru/article/n/degradatsionnye-protsessy-v-stepnyh-soobschestvah-i-dannye-distantsionnogo-zondirovaniya-zemli" TargetMode="External"/><Relationship Id="rId45" Type="http://schemas.openxmlformats.org/officeDocument/2006/relationships/hyperlink" Target="https://cyberleninka.ru/article/n/ispolzovanie-dannyh-distantsionnogo-zondirovaniya-zemli-dlya-otsenki-sostoyaniya-i-stepeni-degradatsii-estestvennyh-pastbischnyh" TargetMode="External"/><Relationship Id="rId46" Type="http://schemas.openxmlformats.org/officeDocument/2006/relationships/hyperlink" Target="https://cyberleninka.ru/article/n/otsenka-sostoyaniya-travostoya-c-pomoschyu-vegetatsionnogo-indeksa-ndvi" TargetMode="External"/><Relationship Id="rId47" Type="http://schemas.openxmlformats.org/officeDocument/2006/relationships/hyperlink" Target="https://cyberleninka.ru/article/n/sravnitelnaya-harakteristika-razlichnyh-vegetatsionnyh-indeksov-pri-otsenke-sostoyaniya-rastitelnogo-pokrova-kormovyh-trav" TargetMode="External"/><Relationship Id="rId48" Type="http://schemas.openxmlformats.org/officeDocument/2006/relationships/hyperlink" Target="https://www.sciencedirect.com/science/article/pii/S1470160X21002697" TargetMode="External"/><Relationship Id="rId49" Type="http://schemas.openxmlformats.org/officeDocument/2006/relationships/hyperlink" Target="https://www.semanticscholar.org/paper/Satellite-derived-evidence-of-whole-farmlet-and-to-Donald-Scott/29da581d80459bdd3e0b10faeb1877deada3f43d" TargetMode="External"/><Relationship Id="rId50" Type="http://schemas.openxmlformats.org/officeDocument/2006/relationships/hyperlink" Target="https://www.researchgate.net/publication/336895622_Using_Sensors_and_Unmanned_Aircraft_Systems_for_High-Throughput_Phenotyping_of_Biomass_in_Perennial_Ryegrass_Breeding_Trials" TargetMode="External"/><Relationship Id="rId51" Type="http://schemas.openxmlformats.org/officeDocument/2006/relationships/hyperlink" Target="https://www.researchgate.net/publication/336812017_Development_and_Validation_of_a_Model_to_Combine_NDVI_and_Plant_Height_for_High-Throughput_Phenotyping_of_Herbage_Yield_in_a_Perennial_Ryegrass_Breeding_Program" TargetMode="External"/><Relationship Id="rId52" Type="http://schemas.openxmlformats.org/officeDocument/2006/relationships/hyperlink" Target="https://www.researchgate.net/publication/359701923_Evaluating_Several_Vegetation_Indices_Derived_from_Sentinel-2_Imagery_for_Quantifying_Localized_Overgrazing_in_a_Semi-Arid_Region_of_South_Africa" TargetMode="External"/><Relationship Id="rId53" Type="http://schemas.openxmlformats.org/officeDocument/2006/relationships/hyperlink" Target="https://www.researchgate.net/publication/360569201_Using_Satellite_NDVI_Time-Series_to_Monitor_Grazing_Effects_on_Vegetation_Productivity_and_Phenology_in_Heterogeneous_Mediterranean_Forests" TargetMode="External"/><Relationship Id="rId54" Type="http://schemas.openxmlformats.org/officeDocument/2006/relationships/hyperlink" Target="https://www.sciencedirect.com/science/article/pii/S1470160X20311547" TargetMode="External"/><Relationship Id="rId55" Type="http://schemas.openxmlformats.org/officeDocument/2006/relationships/hyperlink" Target="https://www.sciencedirect.com/science/article/pii/S1470160X21010438" TargetMode="External"/><Relationship Id="rId56" Type="http://schemas.openxmlformats.org/officeDocument/2006/relationships/hyperlink" Target="https://www.sciencedirect.com/science/article/pii/S003442572200311X" TargetMode="External"/><Relationship Id="rId57" Type="http://schemas.openxmlformats.org/officeDocument/2006/relationships/hyperlink" Target="https://www.sciencedirect.com/science/article/pii/S0034425721004715" TargetMode="External"/><Relationship Id="rId58" Type="http://schemas.openxmlformats.org/officeDocument/2006/relationships/hyperlink" Target="https://www.sciencedirect.com/science/article/pii/S0303243421001847" TargetMode="External"/><Relationship Id="rId59" Type="http://schemas.openxmlformats.org/officeDocument/2006/relationships/hyperlink" Target="https://www.sciencedirect.com/science/article/pii/S1569843222000450" TargetMode="External"/><Relationship Id="rId60" Type="http://schemas.openxmlformats.org/officeDocument/2006/relationships/hyperlink" Target="https://bg.copernicus.org/articles/12/4407/2015/" TargetMode="External"/><Relationship Id="rId61" Type="http://schemas.openxmlformats.org/officeDocument/2006/relationships/hyperlink" Target="https://www.frontiersin.org/articles/10.3389/fenvs.2019.00187/full" TargetMode="External"/><Relationship Id="rId62" Type="http://schemas.openxmlformats.org/officeDocument/2006/relationships/hyperlink" Target="https://journal.hep.com.cn/fase/EN/10.15302/J-FASE-2017193" TargetMode="External"/><Relationship Id="rId63" Type="http://schemas.openxmlformats.org/officeDocument/2006/relationships/hyperlink" Target="https://www.mdpi.com/2072-4292/13/20/4028" TargetMode="External"/><Relationship Id="rId64" Type="http://schemas.openxmlformats.org/officeDocument/2006/relationships/hyperlink" Target="https://doi.org/10.51886/1999-740X_2021_1_14" TargetMode="External"/><Relationship Id="rId65" Type="http://schemas.openxmlformats.org/officeDocument/2006/relationships/hyperlink" Target="https://agrovesti.net/lib/tech/cattle-tech/osnovnye-pravila-organizatsii-i-provedeniya-pastbishchnogo-perioda-soderzhaniya-krupnogo-rogatogo-skota.html." TargetMode="External"/><Relationship Id="rId66" Type="http://schemas.openxmlformats.org/officeDocument/2006/relationships/hyperlink" Target="https://natural-sciences.ru/ru/article/view?id=33144" TargetMode="External"/><Relationship Id="rId67" Type="http://schemas.openxmlformats.org/officeDocument/2006/relationships/hyperlink" Target="https://eldala.kz/specproekty/194-zhivotnovodstvo-kazahstana-sverhcennaya-ideya-agroproma" TargetMode="External"/><Relationship Id="rId68" Type="http://schemas.openxmlformats.org/officeDocument/2006/relationships/hyperlink" Target="https://www.activestudy.info/pravilnoe-ispolzovanie-pastbishh/" TargetMode="External"/><Relationship Id="rId69" Type="http://schemas.openxmlformats.org/officeDocument/2006/relationships/hyperlink" Target="https://industrial-wood.ru/osnovy-kormoproizvodstva-i-zhivotnovodstva/10084-sistemy-i-sposoby-ispolzovaniya-pastbisch.html" TargetMode="External"/><Relationship Id="rId70" Type="http://schemas.openxmlformats.org/officeDocument/2006/relationships/hyperlink" Target="https://www.activestudy.info/pravilnoe-ispolzovanie-pastbishh/" TargetMode="External"/><Relationship Id="rId71" Type="http://schemas.openxmlformats.org/officeDocument/2006/relationships/numbering" Target="numbering.xml"/><Relationship Id="rId72" Type="http://schemas.openxmlformats.org/officeDocument/2006/relationships/fontTable" Target="fontTable.xml"/><Relationship Id="rId73" Type="http://schemas.openxmlformats.org/officeDocument/2006/relationships/settings" Target="settings.xml"/><Relationship Id="rId7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Trio_Office/6.2.8.2$Windows_x86 LibreOffice_project/</Application>
  <Pages>31</Pages>
  <Words>5818</Words>
  <Characters>44517</Characters>
  <CharactersWithSpaces>49886</CharactersWithSpaces>
  <Paragraphs>387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2022-12-18T18:29:17Z</dcterms:modified>
  <cp:revision>7</cp:revision>
  <dc:subject/>
  <dc:title/>
</cp:coreProperties>
</file>