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Казахский агротехнический университет имени Сакена Сейфуллина</w:t>
      </w:r>
    </w:p>
    <w:p>
      <w:pPr>
        <w:pStyle w:val="Normal1"/>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Normal1"/>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Normal1"/>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Normal1"/>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Normal1"/>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ПО ИССЛЕДОВАТЕЛЬСКОЙ ПРАКТИКЕ ДОКТОРАНТА</w:t>
      </w:r>
    </w:p>
    <w:p>
      <w:pPr>
        <w:pStyle w:val="Normal1"/>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за 1 триместр 2022-2023 учебного года</w:t>
      </w:r>
    </w:p>
    <w:p>
      <w:pPr>
        <w:pStyle w:val="Normal1"/>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Normal1"/>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ab/>
        <w:tab/>
        <w:t xml:space="preserve">       Сарсикеев Е. Ж.</w:t>
      </w:r>
    </w:p>
    <w:p>
      <w:pPr>
        <w:pStyle w:val="Normal1"/>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2022</w:t>
      </w:r>
    </w:p>
    <w:p>
      <w:pPr>
        <w:pStyle w:val="Normal1"/>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Normal1"/>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before="240" w:after="0"/>
        <w:rPr/>
      </w:pPr>
      <w:r>
        <w:rPr>
          <w:rFonts w:eastAsia="Times New Roman" w:cs="Times New Roman" w:ascii="Times New Roman" w:hAnsi="Times New Roman"/>
          <w:sz w:val="28"/>
          <w:szCs w:val="28"/>
        </w:rPr>
        <w:t>Введение………………………………………………………………..………3</w:t>
      </w:r>
    </w:p>
    <w:p>
      <w:pPr>
        <w:pStyle w:val="Normal1"/>
        <w:spacing w:lineRule="auto" w:line="360"/>
        <w:rPr/>
      </w:pPr>
      <w:r>
        <w:rPr>
          <w:rFonts w:eastAsia="Times New Roman" w:cs="Times New Roman" w:ascii="Times New Roman" w:hAnsi="Times New Roman"/>
          <w:sz w:val="28"/>
          <w:szCs w:val="28"/>
        </w:rPr>
        <w:t>Таблица резюме рассмотренных патентов…………………………...………4</w:t>
      </w:r>
    </w:p>
    <w:p>
      <w:pPr>
        <w:pStyle w:val="Normal1"/>
        <w:spacing w:lineRule="auto" w:line="360"/>
        <w:rPr/>
      </w:pPr>
      <w:r>
        <w:rPr>
          <w:rFonts w:eastAsia="Times New Roman" w:cs="Times New Roman" w:ascii="Times New Roman" w:hAnsi="Times New Roman"/>
          <w:sz w:val="28"/>
          <w:szCs w:val="28"/>
        </w:rPr>
        <w:t>Таблица резюме рассмотренных статей……………………………..……...14</w:t>
      </w:r>
    </w:p>
    <w:p>
      <w:pPr>
        <w:pStyle w:val="Normal1"/>
        <w:spacing w:lineRule="auto" w:line="360"/>
        <w:rPr/>
      </w:pPr>
      <w:r>
        <w:rPr>
          <w:rFonts w:eastAsia="Times New Roman" w:cs="Times New Roman" w:ascii="Times New Roman" w:hAnsi="Times New Roman"/>
          <w:sz w:val="28"/>
          <w:szCs w:val="28"/>
        </w:rPr>
        <w:t>Выводы…………………………………………..…………..………………..31</w:t>
      </w:r>
    </w:p>
    <w:p>
      <w:pPr>
        <w:pStyle w:val="Normal1"/>
        <w:spacing w:lineRule="auto" w:line="360"/>
        <w:rPr/>
      </w:pPr>
      <w:r>
        <w:rPr>
          <w:rFonts w:eastAsia="Times New Roman" w:cs="Times New Roman" w:ascii="Times New Roman" w:hAnsi="Times New Roman"/>
          <w:sz w:val="28"/>
          <w:szCs w:val="28"/>
        </w:rPr>
        <w:t>Ссылки на источники…………………………...………………………....…32</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before="240" w:after="0"/>
        <w:rPr>
          <w:rFonts w:ascii="Times New Roman" w:hAnsi="Times New Roman" w:eastAsia="Times New Roman" w:cs="Times New Roman"/>
          <w:b/>
          <w:b/>
          <w:sz w:val="28"/>
          <w:szCs w:val="28"/>
        </w:rPr>
      </w:pPr>
      <w:r>
        <w:rPr/>
      </w:r>
    </w:p>
    <w:p>
      <w:pPr>
        <w:pStyle w:val="Normal1"/>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Рациональное использование пастбищных угодий является актуальной проблемой агропромышленного комплекса Казахстана. Сложность процесса создания, поддержания, регулирования и восстановления естественных и культурных пастбищ заключается в многообразии взаимовлияющих факторов, среди которых следует отметить наиболее существенные: агрометеорологические условия, агрохимический состав почвы, видовое разнообразие травостоя, режим выпаса и вид животных, количество циклов и готовность к стравливанию и т.п. </w:t>
      </w:r>
    </w:p>
    <w:p>
      <w:pPr>
        <w:sectPr>
          <w:type w:val="nextPage"/>
          <w:pgSz w:w="11906" w:h="16838"/>
          <w:pgMar w:left="1440" w:right="1440" w:header="0" w:top="425" w:footer="0" w:bottom="1440" w:gutter="0"/>
          <w:pgNumType w:start="1" w:fmt="decimal"/>
          <w:formProt w:val="false"/>
          <w:textDirection w:val="lrTb"/>
          <w:docGrid w:type="default" w:linePitch="100" w:charSpace="4096"/>
        </w:sect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Учитывая обширность территорий, резко континентальный климат, разные климатические и ландшафтные зоны, высокие колебания температуры, осадков, скорости и направления ветра, как в течение года, так и в течение суток, то управление пастбищным хозяйством становится сложной стратегической задачей, решение которой необходимо осуществлять на государственном уровне с привлечением наилучших доступных и перспективных цифровых технологий в науке.</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Таблица резюме рассмотренных патентов</w:t>
      </w:r>
    </w:p>
    <w:tbl>
      <w:tblPr>
        <w:tblStyle w:val="Table1"/>
        <w:tblW w:w="13950" w:type="dxa"/>
        <w:jc w:val="left"/>
        <w:tblInd w:w="0" w:type="dxa"/>
        <w:tblCellMar>
          <w:top w:w="100" w:type="dxa"/>
          <w:left w:w="100" w:type="dxa"/>
          <w:bottom w:w="100" w:type="dxa"/>
          <w:right w:w="100" w:type="dxa"/>
        </w:tblCellMar>
        <w:tblLook w:val="0600"/>
      </w:tblPr>
      <w:tblGrid>
        <w:gridCol w:w="404"/>
        <w:gridCol w:w="2069"/>
        <w:gridCol w:w="1679"/>
        <w:gridCol w:w="3404"/>
        <w:gridCol w:w="3284"/>
        <w:gridCol w:w="3109"/>
      </w:tblGrid>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патента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Номер патента</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Технический результат</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Решаемая проблема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Предложенное решение</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Интегрированная система и метод управления животными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 2007/0288249A1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трудоёмкости процесса и улучшение эффективности оценки здоровья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Трудности при осуществлении медицинской диагностики при больщой численности животных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стада по нескольким парметрам состояния здоровья для последующего предложения рекомендации по уходу.</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способ направления скота в загонах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 2020/129056</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материалоёмкости автоматических ворот, а также снижение создоваемого ими шума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оценке количества и качества потребляемых животными кормов и неэффективное перенаправление стада в загонах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автоматических ворот</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порционной пастьбы животных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0002730866, 26.08.2020</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Рациональное эксплуатирование пастбищ, снижение материалоемкости, уменьшение затрат ручного труда на обслуживание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регулирования расположения животных в загоне в шеренгу, возникновение стрессов животного, снижение продуктивности, высокая материалоемкость, большие затраты ручного труда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организовать пастьбу животных порционно шеренгой путем включения и выключения инфракрасных или ультразвуковых лучей, образующие виртуальные изгороди с исключением стрессовых ситуаций для животного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пастьбы животных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0002515392</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работы устройства, снижение его материалоемкости и затрат труда на обслуживание</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с поворотным механизмом для перемещения фронтального провода изгороди позволяющее выводить животных из загона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2711806</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Легкость, высокая упругость, быстрота установки блоков при относительно невысокой стоимости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 трудоемкость изготовления конструкций, их сборка в блоки, разборка и транспортирование на новое место, и достаточно большой вес блоков</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ограждение загона которого можно организовать с использованием минимального количества блоков.</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RU2704851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Исключение контактного взаимодействия животных с поверхностью блока, обращенной к животным посредством более рациональной формы поперечного сечения блока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Большой вес, сложность изготовления и сложность установки блоков на местности</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как элемента травмобезопасного  ограждения загона для животных, с наименьшей возможностью повреждения поверхности пневмоблока животными.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линейная часть электризуемого заграждения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2714735</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Сокращение трудоемкости по монтажу, сокращение габаритов, возможность установки на непротяженные участки местности, и при перепадах температуры воздуха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Значительное время и трудоемкость по установке и снятию, невозможность установки на непротяженные участки местности в виду высоких габаритов</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 загона с возможностью регулировки высоты проволоки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и способ содержания диких животных с естественными кормами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RU2645343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рационального использования лесных угодий, пастбищ, упрощение эксплуатации охотничьих вольеров за счет упрощенного группового, видового перемещения животных в загонах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производства земляных работ по установке несущих стоек, отсутствие элементов защиты животных от непогоды, возможность травмирования животных на стыках элементов ограждения</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Охотничий вольер выполненый в виде сегментов и/или секторов, имеющих в оконцовках граничащих зон зауженные участки, содержащие впускные-выпускные ворота,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способ и устройство для кормления для удаленного наблюдения за домашним животным и кормления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2675511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более качественного удаленного наблюдения и  взаимодействия между домашними животными и владельцем</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при осуществлений прогноза рациона кормления животных во время отсутствия хозяина рядом</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электронных весов и датчиков для осуществления кормления животных с использованием технологии IoT и баз данных для анализа результатов и процесса кормления.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механизированного пастбищного содержания крупного рогатого скота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2614813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Обеспечение энергоматериалосберегающего экологически чистого способа  содержания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благоприятных условии содержания животных, облагораживание пастбищных загонов, экологичных систем при дойке, хранении и транспортировке молока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способа комплексного свойства, одновременно соответствующего по своему назначению условиям энергоматериалосберегающего экологически чистого высокопродуктивного пастбищного содержания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ограничения выхода крупного рогатого скота и лошадей за пределы отведенного им участка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2379883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Отпадание необходимости выработки у животных условных рефлексов. Исключаются стрессовые ситуации, низкая материалоемкость и стоимость</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снижение продуктивности, высокая материалоемкость и большие трудозатраты на ее монтаж и демонтаж при смене пастбища.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воздействиея на крупный рогатый скот и лошадей звуками жужжания овода, синтезированный с высокой точностью звукогенераторами, установленными по периметру участка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автоматизации и информатизации экономичной пастьбы животных на пастбищах с электрическими изгородями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0002490875</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Достижение экономически оптимального, биологически и энергетически рационального режима пастьбы и кормления животных на пастбище, поиск положения экономического баланса между суммой стоимостей затрат на пастьбу животных и расчетной ценой реализованной продукции живот новодства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учета в реальном времени качественного и количественного состава растительного корма на пастбище, и рационального контроля маршрута стада для достижения наивысшей технико-экономической эффективности процесса пастьбы</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 экономичной пастьбы животных на пастбищах с электрическими изгородями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Cпособ и устройство автоматизации и информатизации экономичной пастьбы животных на пастбищах с электрическими изгородями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2011143938</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Экономически целостное представление о стоимости технических мер по перегони стада на пастбище. </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экономически эффективным перегоном животных на пастбище</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для экономического расчета маршрута стада в рамках пастбища с учетом расстоянии стада от доильного центра и ограждении загонов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Портативная электрическая система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US2020045931A1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Предоставление  портативного ограждения для содержания крупного или другого домашнего скота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для содержания стада и выпаса скота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RS20201177A1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US2021267161A1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сбалансированное поедание травастоя животными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Неравномерное поедание животными травостоя из за неравномерности выпаса животных в рамках одного загона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вдоль первого демаркационного элемента на пастбище.</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Пастбищная электроизгородь</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RU187419U1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использования устройства, что сказывается на снижении затрат на содержание животных в пастбищный период в загонах с электроизгородью и расширение технического потенциала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затраты труда на перестановку электроизгороди, в том числе стоек и электропровода, низкая мобильность и автономность, что отражается на затратах содержания животных в пастбищных электроизгородях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Стационарные ограждения и столбы заменены переносными столбами и электрическими линиями и для автономной и бесперебойной работы мобильной электрической изгороди установлен дополнительный источник электроэнергии в качестве, которого использована солнечная батарея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Роботизированная ротационная пастбищная система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US2020128785A1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для ограждения животных без использования физического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US2013008391A1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Более устойчивый и свободный от стрессов период обучения животных  </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Трудности в определении четких границ пастбища а также сложности в выведении устойчивых рефлексов по мере обучения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ошейников позволяющяя совершать корректирующие воздействие на животные посредством линейного увеличение звуковых сигналов по мере приближения к краю пастбища.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управления стадом</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US10098324B2</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естественная среда поддерживаемая системой ошейников для выпаса скота. Низкий уровень стресса и более устойчивый травостой</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Трудоемкость поддержки систем с виртульной изгородью и низкая энергоэффективность данных устройств. Нарушение естественных процессов выпаса скота посредством использования данных систем.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 которая обеспечивает поддержание стада в рамках одной или нескольких групп, что является более естественной для животного мира.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выпаса скота с использованием виртуального ограждения и аппараты, выполняющие эту функцию</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KR20190048161A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Многоуровневая и щадящая система оповещения возможности выхода животного из загона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Возникновение стрессов у животных из за долгого воздействия электрических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Система контроля выпаса рассчитывающая разные возможности выхода животного из загона в рамках трех уровней оповещения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и метод управления животным на основе виртуального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KR102159319B1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 с использованиес дрона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Материалоемкость и трудоемкость процесса установки и обслуживания обычных изгородей. Осуществление возвращения вышедшего за пределы загона животного с помощью дрона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использованием комплексом ошейников и дрона под управлением оператора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Интеллектуальная система управления пастбищами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CN111567441A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потребления пастбищ</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CN109640640A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точное управление поголовьем скота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системы управления пастбищами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Исходные данные для моделей прогнозирования и моделирования</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поглощенной корма животными на пастбище</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 которые являются более точными и простыми, чем существующие методы.</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пастбищными животными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WO2021033732A1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определения животного отбитого от основного стада и последующее его возвращения</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определения отбившегося животного при использовании обычных решении виртульного контроля</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 на основе данных о поведении животных с базы данных и мониторинг результативности данных решении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управления животноводством</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US2021059213A1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меток на базе IoT</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интеллектуального управления пастбищами на основе больших данных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CN113869848A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энергоемкая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 и облачных вычислении</w:t>
            </w:r>
          </w:p>
        </w:tc>
      </w:tr>
    </w:tbl>
    <w:p>
      <w:pPr>
        <w:sectPr>
          <w:type w:val="nextPage"/>
          <w:pgSz w:orient="landscape" w:w="16838" w:h="11906"/>
          <w:pgMar w:left="1440" w:right="1440" w:header="0" w:top="425" w:footer="0" w:bottom="1440" w:gutter="0"/>
          <w:pgNumType w:fmt="decimal"/>
          <w:formProt w:val="false"/>
          <w:textDirection w:val="lrTb"/>
          <w:docGrid w:type="default" w:linePitch="100" w:charSpace="4096"/>
        </w:sectPr>
      </w:pP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Таблица резюме рассмотренных статей</w:t>
      </w:r>
    </w:p>
    <w:tbl>
      <w:tblPr>
        <w:tblStyle w:val="Table2"/>
        <w:tblW w:w="13954" w:type="dxa"/>
        <w:jc w:val="left"/>
        <w:tblInd w:w="0" w:type="dxa"/>
        <w:tblCellMar>
          <w:top w:w="100" w:type="dxa"/>
          <w:left w:w="100" w:type="dxa"/>
          <w:bottom w:w="100" w:type="dxa"/>
          <w:right w:w="100" w:type="dxa"/>
        </w:tblCellMar>
        <w:tblLook w:val="0600"/>
      </w:tblPr>
      <w:tblGrid>
        <w:gridCol w:w="524"/>
        <w:gridCol w:w="2474"/>
        <w:gridCol w:w="3651"/>
        <w:gridCol w:w="3650"/>
        <w:gridCol w:w="3655"/>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статьи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Рассматриваемый вопрос</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исследования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Использованные методы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II: Влияние на благосостояние и поведение коров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влияния виртуального ограждения на поведение и благополучие дойных коров в первые дни после внедрения технологии, но для полного выяснения последствий после этого периода требуется более длительное исследование.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Химические анализы проб на содержание кортизола в составе молока, оценка выдоя, мониторинг активности, продолжительность жвачки, и выпаса скота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Работает ли виртуальное ограждение для выпаса молочного скота?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исследование продемонстрировало, что экспериментальный прототип автоматизированного виртуального ошейника с высокой эффективностью сдерживает молочных коров в пределах пастбищного участка. Животные могли все чаще реагировать только на звуковой сигнал. Однако эта реакция сильно различалась у разных особей, что может повлиять на эффективность использования пастбища. Успех технологии VF должен основываться не только на том, что животные остаются в пределах зоны включения.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целом, данное исследование продемонстрировало успешное простое применение этой виртуальной системы ограждения для удержания стада пасущихся лактирующих молочных коров в границах их ежедневного распределения пастбищ.</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без визуальных подсказок: Дизайн, трудности реализации и связанное с этим поведение молочных коров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целом, эксплуатационные возможности ошейника и коммуникационной сети были признаны надежными. Однако, несмотря на то, что дойные коровы быстро ассоциировали визуальные сигналы с пограничными линиями VF и быстро развили ассоциацию между звуковым предупреждением и корректирующим стимулом, после удаления всех визуальных сигналов количество нарушений границ увеличилось. Кроме того, наблюдалось сокращение времени пастьбы и жвачки в период обучения, что свидетельствовало о том, что коровы испытывали стресс в обозначенной зоне включения.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сравнимо с электрическим ленточным ограждением по поведению и благополучию крупного рогатого скота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Эти результаты показывают, что технология виртуального ограждения эффективно удерживает животных на установленной территории в течение 4 недель без существенного влияния на поведение и благополучие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Вес тела и образцы кала у каждого животного брались еженедельно. Образцы фекалий обрабатывались для определения концентрации метаболитов кортизола в кале (FCM). Прикрепленные к ноге датчики IceQube R® измеряли индивидуальное время лежания и стояния, а виртуальные оградительные повязки на шее регистрировали местоположение GPS и все применяемые звуковые и электрические стимулы.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Сравнение виртуального ограждения и электрического ограждения овец для управления пастбищами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Сходство в потреблении пастбищ между группами показало, что виртуальное ограждение не влияет на нормальное пастбищное поведение овец и не препятствует им пастись до линии ограждения. Дальнейшую работу следует проводить в более крупных отарах и с использованием автоматизированных систем.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Овцы имели доступ к небольшому участку пастбища (8 × 8 м) в течение примерно 4 часов, в общей сложности 4 дня паслись, каждый день переходя на новый участок. На пастбищном участке измеряли среднее сухое вещество пастбища, нормализованный индекс различий растительности (NDVI) и высоту поднимающейся пластины (RPM) до и после выпаса. NDVI и высота RPM также измерялись вдоль линии забора до и после выпаса.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данных дистанционного зондирования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Актуальность применения технологии дистанционного зондирования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необходимость в объективных методах контроля за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Землепользованием. Учитыая имеющийся недостаток объективной,</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оперативной и достоверной информации об использовании пахотных земель, можно</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утверждать, что развитие методов спутникового мониторинга пахотных земель России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стоит в ряду приоритетных научных задач.</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оценки земель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 с помощью дистанционного зондирования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Эффективность использования сельскохозяйственных земель в казахстане</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Изучение современного состояния использования земельных</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ресурсов в сельском хозяйстве Казахстана и разработать рациональные пути их</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структуры сельхозугодий показал,</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 высокая распаханность территории характерна для северного региона, так как здесь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высокая обеспеченность пашней, являющейся основой развития отраслей сельского</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хозяйства (зерновые регионы) и основным источником доходов сельских жителей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Монографический (анализ структуры</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распределения сельскохозяйственных угодий по категориям земель, посевных площадей),</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абстрактно логический подход – при обобщении результатов исследования 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формулировании выводов и предложений, эмпирический – при оценке современного</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состояния использования земель. Проведен экономический анализ — взаимосвязанные и взаимообусловленные методы</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изучения и научного исследования определенных экономических явлений, процессов,</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действий,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технологии в организации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пастбищного животноводства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Составление основных проблемных вопросов землепользования и предложение их эффективного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было предложено решить проблемы</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культурных пастбищ с использованием современных информационных и цифровых технологий. Основные задачи, требующие</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стравливаемого животным участка культурного</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точек участка стравливания;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комплекса программного обеспечения.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 идентификация отдельных</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особей с применением современных информационных технологий (активность, температура тела,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привес, удой, рацион кормления), удовлетворение</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их индивидуальных потребностей;</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контроль и автоматическое регулирование</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микроклимата в животноводческом помещении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(своевременное удаление вредных газов);</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состояния здоровья стада;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качества получаемой продукции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(возможен учёт по каждому животному);</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электронная база данных производственного</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этом эксперименте сравнивалась способность обычных временных электрических и виртуальных ограждений удерживать стадо из 30 лактирующих молочных коров в границах их ежедневного распределения пастбищ (зона включения). </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Исследование показало, что одиночные линейные виртуальные линии ограждения успешно используются для разделения прямоугольных загонов поперек и ограничения стада из 30 лактирующих молочных коров частью, содержащей их ежедневное (24 часа) пастбищное распределение (зона инклюзии).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статистического анализа на полученных видео и аудио материалах, подчет времени пребывания на пастбище и продолжительности жвачки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использования пастбищ: Стратегии использования технологий и адаптации к изменчивости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 и технологий для борьбы с этой изменчивостью, включая погодные и климатические данные, данные спутникового дистанционного зондирования и соответствующие инструменты, а также GPS-ошейники для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Внешний вид ландшафта.  (Внешняя оценка), применение математических инструментов для анализа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Спутниковое дистанционное зондирование лугов: от наблюдения к управлению</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сравнительного анализа существующих технологии и методов по осуществлению дистанционного зондирования земли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Приведены основные технологии и выведены из основные недостатки и преимущества друг перед другом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и методов по осуществлению дистанционного зондирования земли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Современное приложение для виртуального ограждения: Мониторинг и контроль поведения коз с помощью GPS-ошейников и предупреждающих сигналов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Показано,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Управление перемещением овец в пределах поля с помощью виртуального ограждения</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была эффективна для предотвращения проникновения небольшой группы овец в зону отчуждения. Вероятность того, что овца получит электрический стимул после звукового сигнала,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охотно пересекали прежнее местоположение виртуального забора через 30 минут пребывания в загоне.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технологии виртуального ограждения эффективно в стадах крупного рогатого скота и овец</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удачной конструкцией для пастьбы скота было заднее ограждение, которое следовало за животными и не позволяло им повернуть назад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дистанционного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и наземного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спектрометрирования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исследовании состояния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растительности степей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условиях выпаса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методов оценки состояния растительного покрова на основе данных дистанционного зондирования Зелмли и наземного спектрометрирования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ранневесенний период территриям с сильным пастбищным сбоем характерен ярко-зеленый фон растительного покрова и относительно высокие значения NDVI</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 уменьшении пастбищной нарушенности увеличивается доля серого фона и снижается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как по данным наземного спектрометрирования, так и по космическим снимкам, что противоположно картине, которая наблюдается в летнюю фазу развития растений.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Полевые геоботанические исследования и наземное спектрометрирование, обработка материалов космичкской съемки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Деградационные процессы в степных сообществах 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дистанционного зондирования Земли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Определение возможности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данных дистанционного зондирования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Земли из космоса для характеристики состояния и степени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деградации естественных кормовых угодий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достаточной мере быть критерием деградированности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природных травостоев. Предпологается, что для таких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целей может быть использован показатель доли площади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полигона, занятой хорошо либо плохо развитой растительностью, так как степень деградации пастбища определяется, в том числе, размерами части общей площади участка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 плохо развитой или полностью отсутствующей растительностью</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Проводили сравнение видового состава раститель-</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ного покрова степных сообществ.</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Обработку полевых материалов выполняли согласно об-</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щепринятым геоботаническим методикам.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Наряду с традиционным геоботаническим обследовани-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ем анализировали данные дистанционного зондирования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данных дистанционного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земли для оценки состояния и степени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деградации естественных пастбищных угодий</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Установление возможности использования данных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дистанционного зондирования земли из космоса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характеристики состояния и степени деградации пастбищ.</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результаты свидетельствуют о том,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что значения NDVI не могут в достаточно полной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мере быть критерием деградированности природ-</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ных травостоев.</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Комплексно-экспедиционные и камеральные методы исследо-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вания. Геоботаническое обследование природных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кормовых угодий.</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состояния травостоя c помощью вегетационного индекса ndvi</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оценки состояния растительного покрова (многолетнего травостоя) с помощью космических снимков с использованием вегетационного индекса NDVI.</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состояния посевов сельскохозяйственных культур на основе оценки вегетационного индекса (NDVI) позволяет отметить следующее: наблюдение за изменением вегетационного индекса выявляет неравномерность его распределения по срокам наблюдения и элементарным участкам, что характеризует неравномерность роста и развития растений как по территории полигона, так и во времени наблюдений.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Производимая оценка NDVI вегетационного индекса основана на использовании съемки с космических аппаратов в разных оптических диапазонах с последующим пересчетом отношений режимов красного и инфракрасного спектра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Сравнительная характеристика различных вегетационных индексов при оценке состояния растительного покрова кормовых трав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Выбор оптимальных сроков уборки многолетних трав путем сравнительной оценки состояния растительного покрова с помощью ДЗЗ по различным вегетационным индексам.</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различных вегетационных индексов расширяет объем информации и позволяет в различных конкретных условиях использовать тот из них, который наиболее приемлем в данном конкретном случае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исследованиях была использована информация, взятая со спутника Sentinel-2.Для обработки и анализа изображений используется сервис Land Viewer. Исследования проводились в системе тестовых полигонов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Идентификация факторов воздействия для дифференцированных моделей изменения NDVI</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районе истоков Брахмапутры и Инда, Юго-Западный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Тибетское нагорье</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Влияние 14 потенциальных переменных окружающей среды на динамику растительности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что монотонные увеличения и резкие увеличения NDVI объясняются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39,87% и 22,55% изменений растительности, соответственно.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данные также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подтвердили, что изменение климата является наиболее важной движущей силой изменения растительности, а антропогенное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вмешательство является причиной резких изменений в растительности.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использованные в этом исследовании: NDVI, почвенный покров, климатические данные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 другие переменные окружающей среды, связанные с изменением растительности.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этом исследовании используются данные NDVI, чтобы лучше понять плюралистические изменения в растительности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со спутников данные о реакции всей фермы и загона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 управление и климат</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этой статье описывается использование изображений дистанционного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с умеренным разрешением для лучшего понимания различий между тремя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экспериментальными фермами во времени и пространстве</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различия в зеленом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травостое, обусловленные различиями в количестве осадков, выпавших в разные годы, а также различиями между фермерскими хозяйствами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тематического картографа Landsat использовались для получения изображений с нормализованным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разностным индексом растительности (NDVI) и спектральным классом за восемь дат, начиная с начала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испытаний на ферме (июнь 2000 года) и заканчивая ежегодными весенними измерениями в сентябре–октябре каждого года с 2000 по 2006 год на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всех загонах каждой фермы.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датчиков и беспилотных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Авиационные системы для высоких-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Фенотипирование производительности биомассы</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селекционных испытаниях многолетнего райграса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Проверить наземные и воздушные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платформы для неразрушающего высокопроизводительного</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фенотипирования биомассы и их потенциал для замены традиционной визуальной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оценки и отсечения для рутинного применения в селекции, чтобы улучшить</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сбор данных и способность принимать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Наблюдались значительные корреляции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между визуальной оценкой и нормализованным разностным вегетационным индексом (NDVI) в</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полевых испытаниях с разнесенными растениями, а также между выходом биомассы и NDVI в испытаниях на междурядьях и газонах</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Карманный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Мультиспектральные датчики Trimble GreenSeeker® или Parrot Sequoia, прикрепленные к</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квадрокоптеру 3DR Solo, для оценки биомассы в полевых испытаниях многолетнего райграса, показанных в виде отдельных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растений, междурядий и имитированных участков газона.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и валидация модели для объединения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NDVI и высота установки для обеспечения высокой производительности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фенотипирование урожайности травостоя у многолетнего райграса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разведения</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возможности комбинирования нормализованного вегетативного индекса различий (NDVI), полученного на основе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мультиспектральной визуализации и оценок высоты растений с помощью ультразвукового сонара, для оценки HY отдельных растений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крупной программе разведения многолетнего райграса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этого исследования</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демонстрируют, что наилучший прогноз сухого травостоя одиночных растений райграса многолетнего, высаженных в космосе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зависит от мультипликативной комбинации NDVI и высоты растений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сбора данных использовались две системы фенотипирования, наземные платформы и платформы на базе беспилотных летательных аппаратов.</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Наземная система фенотипирования использовалась для сбора измерений высоты отдельных растений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в то время как беспилотный летательный аппарат использовал многоспектральную систему визуализации для извлечения значений NDVI отдельных растений.</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Отобранные растения оценивали по высоте и на следующий день срезали на свежую и сухую массу.</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нескольких вегетационных индексов, полученных с помощью Sentinel-2</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изображения для количественной оценки локализованного чрезмерного выпаса скота в полузасушливом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Регион Южной Африки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Обоснование пространственных взаимосвязей между условиями растительности и</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моделями передвижения овец.</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показали, что домашний скот, как правило, собирается вдоль дренажных линий, где почвы более глубокие. Полученные результаты</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демонстрируют, как пространственный анализ данных дистанционного зондирования может обеспечить обзор</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моделей перемещения скота в масштабе ландшафта.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исследовании использовались технологии отслеживания домашнего скота, и снимки Sentinel-2</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проведения наблюдений за состоянием растительности в масштабе пастбищ в полузасушливой среде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спутниковых временных рядов NDVI для мониторинга воздействия выпаса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скота на продуктивность растительности и фенологию в гетерогенных</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Средиземноморские леса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спутниковых данных для мониторинга реакции фенологии и продуктивности растительности на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нарушение пастбищного режима в гетерогенной лесной мозаике с травянистым, кустарниковым и древесным покровом</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для кустарников и деревьев свидетельствуют</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 снижении пиковой продуктивности на пастбищных участках, но без изменений в фенологических закономерностях</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временных рядов NDVI из снимков Sentinel-2 за период с июня 2016 по июнь 2021 года</w:t>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sectPr>
          <w:type w:val="nextPage"/>
          <w:pgSz w:orient="landscape" w:w="16838" w:h="11906"/>
          <w:pgMar w:left="1440" w:right="1440" w:header="0" w:top="425" w:footer="0" w:bottom="1440" w:gutter="0"/>
          <w:pgNumType w:fmt="decimal"/>
          <w:formProt w:val="false"/>
          <w:textDirection w:val="lrTb"/>
          <w:docGrid w:type="default" w:linePitch="100" w:charSpace="4096"/>
        </w:sectPr>
      </w:pP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Выводы</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использованные источники</w:t>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Патенты</w:t>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Электрическая изгородь</w:t>
      </w:r>
    </w:p>
    <w:p>
      <w:pPr>
        <w:pStyle w:val="Normal1"/>
        <w:numPr>
          <w:ilvl w:val="0"/>
          <w:numId w:val="1"/>
        </w:numPr>
        <w:ind w:left="1440" w:hanging="360"/>
        <w:jc w:val="both"/>
        <w:rPr/>
      </w:pPr>
      <w:hyperlink r:id="rId2">
        <w:r>
          <w:rPr>
            <w:rStyle w:val="ListLabel28"/>
            <w:rFonts w:eastAsia="Times New Roman" w:cs="Times New Roman" w:ascii="Times New Roman" w:hAnsi="Times New Roman"/>
            <w:color w:val="1155CC"/>
            <w:sz w:val="28"/>
            <w:szCs w:val="28"/>
            <w:u w:val="single"/>
          </w:rPr>
          <w:t>https://patentimages.storage.googleapis.com/0f/1c/e5/a6f29caee180f6/US20070288249A1.pdf</w:t>
        </w:r>
      </w:hyperlink>
      <w:r>
        <w:rPr>
          <w:rFonts w:eastAsia="Times New Roman" w:cs="Times New Roman" w:ascii="Times New Roman" w:hAnsi="Times New Roman"/>
          <w:sz w:val="28"/>
          <w:szCs w:val="28"/>
        </w:rPr>
        <w:t xml:space="preserve"> (Патент США №US 2007/0288249A1, 13.01.2007.)</w:t>
      </w:r>
    </w:p>
    <w:p>
      <w:pPr>
        <w:pStyle w:val="Normal1"/>
        <w:numPr>
          <w:ilvl w:val="0"/>
          <w:numId w:val="1"/>
        </w:numPr>
        <w:ind w:left="1440" w:hanging="360"/>
        <w:jc w:val="both"/>
        <w:rPr/>
      </w:pPr>
      <w:hyperlink r:id="rId3">
        <w:r>
          <w:rPr>
            <w:rStyle w:val="ListLabel28"/>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(Патент США №WO 2020/129056, 25.06.2020.)</w:t>
      </w:r>
    </w:p>
    <w:p>
      <w:pPr>
        <w:pStyle w:val="Normal1"/>
        <w:numPr>
          <w:ilvl w:val="0"/>
          <w:numId w:val="1"/>
        </w:numPr>
        <w:ind w:left="1440" w:hanging="360"/>
        <w:jc w:val="both"/>
        <w:rPr/>
      </w:pPr>
      <w:hyperlink r:id="rId4">
        <w:r>
          <w:rPr>
            <w:rStyle w:val="ListLabel28"/>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(Патент РФ № 0002730866, 26.08.2020.)</w:t>
      </w:r>
    </w:p>
    <w:p>
      <w:pPr>
        <w:pStyle w:val="Normal1"/>
        <w:numPr>
          <w:ilvl w:val="0"/>
          <w:numId w:val="1"/>
        </w:numPr>
        <w:ind w:left="1440" w:hanging="360"/>
        <w:jc w:val="both"/>
        <w:rPr/>
      </w:pPr>
      <w:hyperlink r:id="rId5">
        <w:r>
          <w:rPr>
            <w:rStyle w:val="ListLabel28"/>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(Патент РФ № 0002515392, 10.05.2014.)</w:t>
      </w:r>
    </w:p>
    <w:p>
      <w:pPr>
        <w:pStyle w:val="Normal1"/>
        <w:numPr>
          <w:ilvl w:val="0"/>
          <w:numId w:val="1"/>
        </w:numPr>
        <w:ind w:left="1440" w:hanging="360"/>
        <w:jc w:val="both"/>
        <w:rPr/>
      </w:pPr>
      <w:hyperlink r:id="rId6">
        <w:r>
          <w:rPr>
            <w:rStyle w:val="ListLabel28"/>
            <w:rFonts w:eastAsia="Times New Roman" w:cs="Times New Roman" w:ascii="Times New Roman" w:hAnsi="Times New Roman"/>
            <w:color w:val="1155CC"/>
            <w:sz w:val="28"/>
            <w:szCs w:val="28"/>
            <w:u w:val="single"/>
          </w:rPr>
          <w:t>https://findpatent.ru/patent/271/2711806.html</w:t>
        </w:r>
      </w:hyperlink>
      <w:r>
        <w:rPr>
          <w:rFonts w:eastAsia="Times New Roman" w:cs="Times New Roman" w:ascii="Times New Roman" w:hAnsi="Times New Roman"/>
          <w:sz w:val="28"/>
          <w:szCs w:val="28"/>
        </w:rPr>
        <w:t xml:space="preserve"> (Патент РФ №RU 2711806, 22.01.2020.)</w:t>
      </w:r>
    </w:p>
    <w:p>
      <w:pPr>
        <w:pStyle w:val="Normal1"/>
        <w:numPr>
          <w:ilvl w:val="0"/>
          <w:numId w:val="1"/>
        </w:numPr>
        <w:ind w:left="1440" w:hanging="360"/>
        <w:jc w:val="both"/>
        <w:rPr/>
      </w:pPr>
      <w:hyperlink r:id="rId7">
        <w:r>
          <w:rPr>
            <w:rStyle w:val="ListLabel28"/>
            <w:rFonts w:eastAsia="Times New Roman" w:cs="Times New Roman" w:ascii="Times New Roman" w:hAnsi="Times New Roman"/>
            <w:color w:val="1155CC"/>
            <w:sz w:val="28"/>
            <w:szCs w:val="28"/>
            <w:u w:val="single"/>
          </w:rPr>
          <w:t>https://findpatent.ru/patent/270/2704851.html</w:t>
        </w:r>
      </w:hyperlink>
      <w:r>
        <w:rPr>
          <w:rFonts w:eastAsia="Times New Roman" w:cs="Times New Roman" w:ascii="Times New Roman" w:hAnsi="Times New Roman"/>
          <w:sz w:val="28"/>
          <w:szCs w:val="28"/>
        </w:rPr>
        <w:t xml:space="preserve"> (Патент РФ №RU2704851, 31.10.2019)</w:t>
      </w:r>
    </w:p>
    <w:p>
      <w:pPr>
        <w:pStyle w:val="Normal1"/>
        <w:numPr>
          <w:ilvl w:val="0"/>
          <w:numId w:val="1"/>
        </w:numPr>
        <w:ind w:left="1440" w:hanging="360"/>
        <w:jc w:val="both"/>
        <w:rPr/>
      </w:pPr>
      <w:hyperlink r:id="rId8">
        <w:r>
          <w:rPr>
            <w:rStyle w:val="ListLabel28"/>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(Патент РФ №RU 2714735, 19.02.2020.)</w:t>
      </w:r>
    </w:p>
    <w:p>
      <w:pPr>
        <w:pStyle w:val="Normal1"/>
        <w:numPr>
          <w:ilvl w:val="0"/>
          <w:numId w:val="1"/>
        </w:numPr>
        <w:ind w:left="1440" w:hanging="360"/>
        <w:jc w:val="both"/>
        <w:rPr/>
      </w:pPr>
      <w:hyperlink r:id="rId9">
        <w:r>
          <w:rPr>
            <w:rStyle w:val="ListLabel28"/>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(Патент РФ №RU2645343, 21.02.2018.)</w:t>
      </w:r>
    </w:p>
    <w:p>
      <w:pPr>
        <w:pStyle w:val="Normal1"/>
        <w:numPr>
          <w:ilvl w:val="0"/>
          <w:numId w:val="1"/>
        </w:numPr>
        <w:ind w:left="1440" w:hanging="360"/>
        <w:jc w:val="both"/>
        <w:rPr/>
      </w:pPr>
      <w:hyperlink r:id="rId10">
        <w:r>
          <w:rPr>
            <w:rStyle w:val="ListLabel28"/>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(Патент РФ №RU 2675511, 01.01.2019.)</w:t>
      </w:r>
    </w:p>
    <w:p>
      <w:pPr>
        <w:pStyle w:val="Normal1"/>
        <w:numPr>
          <w:ilvl w:val="0"/>
          <w:numId w:val="1"/>
        </w:numPr>
        <w:ind w:left="1440" w:hanging="360"/>
        <w:jc w:val="both"/>
        <w:rPr/>
      </w:pPr>
      <w:hyperlink r:id="rId11">
        <w:r>
          <w:rPr>
            <w:rStyle w:val="ListLabel28"/>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(Патента РФ №RU 2614813, 12.04.2017.)</w:t>
      </w:r>
    </w:p>
    <w:p>
      <w:pPr>
        <w:pStyle w:val="Normal1"/>
        <w:numPr>
          <w:ilvl w:val="0"/>
          <w:numId w:val="1"/>
        </w:numPr>
        <w:ind w:left="1440" w:hanging="360"/>
        <w:jc w:val="both"/>
        <w:rPr/>
      </w:pPr>
      <w:hyperlink r:id="rId12">
        <w:r>
          <w:rPr>
            <w:rStyle w:val="ListLabel28"/>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(Патент РФ №RU 2379883, 21.03.2013.)</w:t>
      </w:r>
    </w:p>
    <w:p>
      <w:pPr>
        <w:pStyle w:val="Normal1"/>
        <w:numPr>
          <w:ilvl w:val="0"/>
          <w:numId w:val="1"/>
        </w:numPr>
        <w:ind w:left="1440" w:hanging="360"/>
        <w:jc w:val="both"/>
        <w:rPr/>
      </w:pPr>
      <w:hyperlink r:id="rId13">
        <w:r>
          <w:rPr>
            <w:rStyle w:val="ListLabel28"/>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Normal1"/>
        <w:numPr>
          <w:ilvl w:val="0"/>
          <w:numId w:val="1"/>
        </w:numPr>
        <w:ind w:left="1440" w:hanging="360"/>
        <w:jc w:val="both"/>
        <w:rPr/>
      </w:pPr>
      <w:hyperlink r:id="rId14">
        <w:r>
          <w:rPr>
            <w:rStyle w:val="ListLabel28"/>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Normal1"/>
        <w:numPr>
          <w:ilvl w:val="0"/>
          <w:numId w:val="1"/>
        </w:numPr>
        <w:ind w:left="1440" w:hanging="360"/>
        <w:jc w:val="both"/>
        <w:rPr/>
      </w:pPr>
      <w:hyperlink r:id="rId15">
        <w:r>
          <w:rPr>
            <w:rStyle w:val="ListLabel28"/>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(Патент РФ № 2011143938, 10.05.2013.)</w:t>
      </w:r>
    </w:p>
    <w:p>
      <w:pPr>
        <w:pStyle w:val="Normal1"/>
        <w:numPr>
          <w:ilvl w:val="0"/>
          <w:numId w:val="1"/>
        </w:numPr>
        <w:ind w:left="1440" w:hanging="360"/>
        <w:jc w:val="both"/>
        <w:rPr/>
      </w:pPr>
      <w:hyperlink r:id="rId16">
        <w:r>
          <w:rPr>
            <w:rStyle w:val="ListLabel28"/>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(Патент США №US2020045931A1, 13.02.2020)</w:t>
      </w:r>
    </w:p>
    <w:p>
      <w:pPr>
        <w:pStyle w:val="Normal1"/>
        <w:numPr>
          <w:ilvl w:val="0"/>
          <w:numId w:val="1"/>
        </w:numPr>
        <w:ind w:left="1440" w:hanging="360"/>
        <w:jc w:val="both"/>
        <w:rPr/>
      </w:pPr>
      <w:hyperlink r:id="rId17">
        <w:r>
          <w:rPr>
            <w:rStyle w:val="ListLabel28"/>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(Патент США №RS20201177A1, 31.03.2022)</w:t>
      </w:r>
    </w:p>
    <w:p>
      <w:pPr>
        <w:pStyle w:val="Normal1"/>
        <w:numPr>
          <w:ilvl w:val="0"/>
          <w:numId w:val="1"/>
        </w:numPr>
        <w:ind w:left="1440" w:hanging="360"/>
        <w:jc w:val="both"/>
        <w:rPr/>
      </w:pPr>
      <w:hyperlink r:id="rId18">
        <w:r>
          <w:rPr>
            <w:rStyle w:val="ListLabel28"/>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(Патент США №US2021267161A1, 02.09.2021)</w:t>
      </w:r>
    </w:p>
    <w:p>
      <w:pPr>
        <w:pStyle w:val="Normal1"/>
        <w:numPr>
          <w:ilvl w:val="0"/>
          <w:numId w:val="1"/>
        </w:numPr>
        <w:ind w:left="1440" w:hanging="360"/>
        <w:jc w:val="both"/>
        <w:rPr/>
      </w:pPr>
      <w:hyperlink r:id="rId19">
        <w:r>
          <w:rPr>
            <w:rStyle w:val="ListLabel28"/>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(Патент РФ №RU187419U1, 05.03.2019)</w:t>
      </w:r>
    </w:p>
    <w:p>
      <w:pPr>
        <w:pStyle w:val="Normal1"/>
        <w:numPr>
          <w:ilvl w:val="0"/>
          <w:numId w:val="1"/>
        </w:numPr>
        <w:ind w:left="1440" w:hanging="360"/>
        <w:jc w:val="both"/>
        <w:rPr/>
      </w:pPr>
      <w:hyperlink r:id="rId20">
        <w:r>
          <w:rPr>
            <w:rStyle w:val="ListLabel28"/>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(Патент США №US2020128785A1, 30.04.2020)</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Про сравнение  и вред электронных виртуальных изгородей </w:t>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1"/>
        </w:numPr>
        <w:ind w:left="1440" w:hanging="360"/>
        <w:jc w:val="both"/>
        <w:rPr/>
      </w:pPr>
      <w:hyperlink r:id="rId21">
        <w:r>
          <w:rPr>
            <w:rStyle w:val="ListLabel28"/>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(Megan Verdon, Adam Langworthy, Richard Rawnsley. 2021. Virtual fencing technology to intensively graze lactating dairy cattle. II: Effects on cow welfare and behavior. Journal of Dairy Science. 104(6):7084-7094.)</w:t>
      </w:r>
    </w:p>
    <w:p>
      <w:pPr>
        <w:pStyle w:val="Normal1"/>
        <w:numPr>
          <w:ilvl w:val="0"/>
          <w:numId w:val="1"/>
        </w:numPr>
        <w:ind w:left="1440" w:hanging="360"/>
        <w:jc w:val="both"/>
        <w:rPr/>
      </w:pPr>
      <w:hyperlink r:id="rId22">
        <w:r>
          <w:rPr>
            <w:rStyle w:val="ListLabel28"/>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(Lomax, Sabrina, Patricia Colusso, and Cameron E.F. Clark. 2019. "Does Virtual Fencing Work for Grazing Dairy Cattle?" Animals 9, no. 7: 429.)</w:t>
      </w:r>
    </w:p>
    <w:p>
      <w:pPr>
        <w:pStyle w:val="Normal1"/>
        <w:numPr>
          <w:ilvl w:val="0"/>
          <w:numId w:val="1"/>
        </w:numPr>
        <w:ind w:left="1440" w:hanging="360"/>
        <w:jc w:val="both"/>
        <w:rPr/>
      </w:pPr>
      <w:hyperlink r:id="rId23">
        <w:r>
          <w:rPr>
            <w:rStyle w:val="ListLabel28"/>
            <w:rFonts w:eastAsia="Times New Roman" w:cs="Times New Roman" w:ascii="Times New Roman" w:hAnsi="Times New Roman"/>
            <w:color w:val="1155CC"/>
            <w:sz w:val="28"/>
            <w:szCs w:val="28"/>
            <w:u w:val="single"/>
          </w:rPr>
          <w:t>https://www.sciencedirect.com/science/article/pii/S002203022100480X</w:t>
        </w:r>
      </w:hyperlink>
      <w:r>
        <w:rPr>
          <w:rFonts w:eastAsia="Times New Roman" w:cs="Times New Roman" w:ascii="Times New Roman" w:hAnsi="Times New Roman"/>
          <w:sz w:val="28"/>
          <w:szCs w:val="28"/>
        </w:rPr>
        <w:t xml:space="preserve"> (Adam D. Langworthy, Megan Verdon, Mark J. Freeman, Ross Corkrey, James L. Hills, Richard P. Rawnsley. 2021. Virtual fencing technology to intensively graze lactating dairy cattle. I: Technology efficacy and pasture utilization. Journal of Dairy Science. 104(6):7071-7083.)</w:t>
      </w:r>
    </w:p>
    <w:p>
      <w:pPr>
        <w:pStyle w:val="Normal1"/>
        <w:numPr>
          <w:ilvl w:val="0"/>
          <w:numId w:val="1"/>
        </w:numPr>
        <w:ind w:left="1440" w:hanging="360"/>
        <w:jc w:val="both"/>
        <w:rPr/>
      </w:pPr>
      <w:hyperlink r:id="rId24">
        <w:r>
          <w:rPr>
            <w:rStyle w:val="ListLabel28"/>
            <w:rFonts w:eastAsia="Times New Roman" w:cs="Times New Roman" w:ascii="Times New Roman" w:hAnsi="Times New Roman"/>
            <w:color w:val="1155CC"/>
            <w:sz w:val="28"/>
            <w:szCs w:val="28"/>
            <w:u w:val="single"/>
          </w:rPr>
          <w:t>https://www.sciencedirect.com/science/article/abs/pii/S0168169919309445</w:t>
        </w:r>
      </w:hyperlink>
      <w:r>
        <w:rPr>
          <w:rFonts w:eastAsia="Times New Roman" w:cs="Times New Roman" w:ascii="Times New Roman" w:hAnsi="Times New Roman"/>
          <w:sz w:val="28"/>
          <w:szCs w:val="28"/>
        </w:rPr>
        <w:t xml:space="preserve"> (Diarmuid McSweeney, Bernadette O'Brien, Neil E. Coughlan, Alexis Férard, Stepan Ivanov, Paddy Halton, Christina Umstatter. 2020. Virtual fencing without visual cues: Design, difficulties of implementation, and associated dairy cow behaviour. Computers and Electronics in Agriculture. 176:105613.)</w:t>
      </w:r>
    </w:p>
    <w:p>
      <w:pPr>
        <w:pStyle w:val="Normal1"/>
        <w:numPr>
          <w:ilvl w:val="0"/>
          <w:numId w:val="1"/>
        </w:numPr>
        <w:ind w:left="1440" w:hanging="360"/>
        <w:jc w:val="both"/>
        <w:rPr/>
      </w:pPr>
      <w:hyperlink r:id="rId25">
        <w:r>
          <w:rPr>
            <w:rStyle w:val="ListLabel28"/>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(Campbell Dana L. M., Lea Jim M., Keshavarzi Hamideh, Lee Caroline. 2019. Virtual Fencing Is Comparable to Electric Tape Fencing for Cattle Behavior and Welfare. Frontiers in Veterinary Science. (6))</w:t>
      </w:r>
    </w:p>
    <w:p>
      <w:pPr>
        <w:pStyle w:val="Normal1"/>
        <w:numPr>
          <w:ilvl w:val="0"/>
          <w:numId w:val="1"/>
        </w:numPr>
        <w:ind w:left="1440" w:hanging="360"/>
        <w:jc w:val="both"/>
        <w:rPr/>
      </w:pPr>
      <w:hyperlink r:id="rId26">
        <w:r>
          <w:rPr>
            <w:rStyle w:val="ListLabel28"/>
            <w:rFonts w:eastAsia="Times New Roman" w:cs="Times New Roman" w:ascii="Times New Roman" w:hAnsi="Times New Roman"/>
            <w:color w:val="1155CC"/>
            <w:sz w:val="28"/>
            <w:szCs w:val="28"/>
            <w:u w:val="single"/>
          </w:rPr>
          <w:t>https://www.publish.csiro.au/an/AN21459</w:t>
        </w:r>
      </w:hyperlink>
      <w:r>
        <w:rPr>
          <w:rFonts w:eastAsia="Times New Roman" w:cs="Times New Roman" w:ascii="Times New Roman" w:hAnsi="Times New Roman"/>
          <w:sz w:val="28"/>
          <w:szCs w:val="28"/>
        </w:rPr>
        <w:t xml:space="preserve"> (Marini Danila, Cowley Fran, Belson Sue, Lee Caroline. 2022. Comparison of virtually fencing and electrically fencing sheep for pasture management. Animal Production Science. 3(7):50-58)</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Виртуальная изгородь</w:t>
      </w:r>
    </w:p>
    <w:p>
      <w:pPr>
        <w:pStyle w:val="Normal1"/>
        <w:numPr>
          <w:ilvl w:val="0"/>
          <w:numId w:val="1"/>
        </w:numPr>
        <w:ind w:left="1440" w:hanging="360"/>
        <w:jc w:val="both"/>
        <w:rPr/>
      </w:pPr>
      <w:hyperlink r:id="rId27">
        <w:r>
          <w:rPr>
            <w:rStyle w:val="ListLabel28"/>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(Патент США №US2013008391A1, 10.01.2013)</w:t>
      </w:r>
    </w:p>
    <w:p>
      <w:pPr>
        <w:pStyle w:val="Normal1"/>
        <w:numPr>
          <w:ilvl w:val="0"/>
          <w:numId w:val="1"/>
        </w:numPr>
        <w:ind w:left="1440" w:hanging="360"/>
        <w:jc w:val="both"/>
        <w:rPr/>
      </w:pPr>
      <w:hyperlink r:id="rId28">
        <w:r>
          <w:rPr>
            <w:rStyle w:val="ListLabel28"/>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(Патент США №US10098324B2, 16.10.2018)</w:t>
      </w:r>
    </w:p>
    <w:p>
      <w:pPr>
        <w:pStyle w:val="Normal1"/>
        <w:numPr>
          <w:ilvl w:val="0"/>
          <w:numId w:val="1"/>
        </w:numPr>
        <w:ind w:left="1440" w:hanging="360"/>
        <w:jc w:val="both"/>
        <w:rPr/>
      </w:pPr>
      <w:hyperlink r:id="rId29">
        <w:r>
          <w:rPr>
            <w:rStyle w:val="ListLabel28"/>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(Па тент КР №KR20190048161A, 09.05.2019)</w:t>
      </w:r>
    </w:p>
    <w:p>
      <w:pPr>
        <w:pStyle w:val="Normal1"/>
        <w:numPr>
          <w:ilvl w:val="0"/>
          <w:numId w:val="1"/>
        </w:numPr>
        <w:ind w:left="1440" w:hanging="360"/>
        <w:jc w:val="both"/>
        <w:rPr/>
      </w:pPr>
      <w:hyperlink r:id="rId30">
        <w:r>
          <w:rPr>
            <w:rStyle w:val="ListLabel28"/>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(Патент КР №KR102159319B1, 23.09.2020)</w:t>
      </w:r>
    </w:p>
    <w:p>
      <w:pPr>
        <w:pStyle w:val="Normal1"/>
        <w:numPr>
          <w:ilvl w:val="0"/>
          <w:numId w:val="1"/>
        </w:numPr>
        <w:ind w:left="1440" w:hanging="360"/>
        <w:jc w:val="both"/>
        <w:rPr/>
      </w:pPr>
      <w:hyperlink r:id="rId31">
        <w:r>
          <w:rPr>
            <w:rStyle w:val="ListLabel28"/>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(Патент КНР №CN111567441A, 25.08.2020)</w:t>
      </w:r>
    </w:p>
    <w:p>
      <w:pPr>
        <w:pStyle w:val="Normal1"/>
        <w:numPr>
          <w:ilvl w:val="0"/>
          <w:numId w:val="1"/>
        </w:numPr>
        <w:ind w:left="1440" w:hanging="360"/>
        <w:jc w:val="both"/>
        <w:rPr/>
      </w:pPr>
      <w:hyperlink r:id="rId32">
        <w:r>
          <w:rPr>
            <w:rStyle w:val="ListLabel28"/>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(Патент КНР №CN109640640A, 16.04.2019)</w:t>
      </w:r>
    </w:p>
    <w:p>
      <w:pPr>
        <w:pStyle w:val="Normal1"/>
        <w:numPr>
          <w:ilvl w:val="0"/>
          <w:numId w:val="1"/>
        </w:numPr>
        <w:ind w:left="1440" w:hanging="360"/>
        <w:jc w:val="both"/>
        <w:rPr/>
      </w:pPr>
      <w:hyperlink r:id="rId33">
        <w:r>
          <w:rPr>
            <w:rStyle w:val="ListLabel28"/>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(Патент КНР №WO2021033732A1, 25.02.2021)</w:t>
      </w:r>
    </w:p>
    <w:p>
      <w:pPr>
        <w:pStyle w:val="Normal1"/>
        <w:numPr>
          <w:ilvl w:val="0"/>
          <w:numId w:val="1"/>
        </w:numPr>
        <w:ind w:left="1440" w:hanging="360"/>
        <w:jc w:val="both"/>
        <w:rPr/>
      </w:pPr>
      <w:hyperlink r:id="rId34">
        <w:r>
          <w:rPr>
            <w:rStyle w:val="ListLabel28"/>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(Патент США №US2021059213A1, 04.03.2021)</w:t>
      </w:r>
    </w:p>
    <w:p>
      <w:pPr>
        <w:pStyle w:val="Normal1"/>
        <w:numPr>
          <w:ilvl w:val="0"/>
          <w:numId w:val="1"/>
        </w:numPr>
        <w:ind w:left="1440" w:hanging="360"/>
        <w:jc w:val="both"/>
        <w:rPr/>
      </w:pPr>
      <w:hyperlink r:id="rId35">
        <w:r>
          <w:rPr>
            <w:rStyle w:val="ListLabel28"/>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(Патент КНР №CN113869848A, 31.12.2021)</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Статьи</w:t>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Русскоязычные статьи</w:t>
      </w:r>
    </w:p>
    <w:p>
      <w:pPr>
        <w:pStyle w:val="Normal1"/>
        <w:numPr>
          <w:ilvl w:val="0"/>
          <w:numId w:val="1"/>
        </w:numPr>
        <w:ind w:left="1440" w:hanging="360"/>
        <w:jc w:val="both"/>
        <w:rPr/>
      </w:pPr>
      <w:hyperlink r:id="rId36">
        <w:r>
          <w:rPr>
            <w:rStyle w:val="ListLabel28"/>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Normal1"/>
        <w:numPr>
          <w:ilvl w:val="0"/>
          <w:numId w:val="1"/>
        </w:numPr>
        <w:ind w:left="1440" w:hanging="360"/>
        <w:jc w:val="both"/>
        <w:rPr/>
      </w:pPr>
      <w:hyperlink r:id="rId37">
        <w:r>
          <w:rPr>
            <w:rStyle w:val="ListLabel28"/>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Normal1"/>
        <w:numPr>
          <w:ilvl w:val="0"/>
          <w:numId w:val="1"/>
        </w:numPr>
        <w:ind w:left="1440" w:hanging="360"/>
        <w:jc w:val="both"/>
        <w:rPr/>
      </w:pPr>
      <w:hyperlink r:id="rId38">
        <w:r>
          <w:rPr>
            <w:rStyle w:val="ListLabel28"/>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Англоязычные статьи</w:t>
      </w:r>
    </w:p>
    <w:p>
      <w:pPr>
        <w:pStyle w:val="Normal1"/>
        <w:numPr>
          <w:ilvl w:val="0"/>
          <w:numId w:val="1"/>
        </w:numPr>
        <w:ind w:left="1440" w:hanging="360"/>
        <w:jc w:val="both"/>
        <w:rPr/>
      </w:pPr>
      <w:hyperlink r:id="rId39">
        <w:r>
          <w:rPr>
            <w:rStyle w:val="ListLabel28"/>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Normal1"/>
        <w:numPr>
          <w:ilvl w:val="0"/>
          <w:numId w:val="1"/>
        </w:numPr>
        <w:ind w:left="1440" w:hanging="360"/>
        <w:jc w:val="both"/>
        <w:rPr/>
      </w:pPr>
      <w:hyperlink r:id="rId40">
        <w:r>
          <w:rPr>
            <w:rStyle w:val="ListLabel28"/>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Normal1"/>
        <w:numPr>
          <w:ilvl w:val="0"/>
          <w:numId w:val="1"/>
        </w:numPr>
        <w:ind w:left="1440" w:hanging="360"/>
        <w:jc w:val="both"/>
        <w:rPr/>
      </w:pPr>
      <w:hyperlink r:id="rId41">
        <w:r>
          <w:rPr>
            <w:rStyle w:val="ListLabel28"/>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Normal1"/>
        <w:numPr>
          <w:ilvl w:val="0"/>
          <w:numId w:val="1"/>
        </w:numPr>
        <w:ind w:left="1440" w:hanging="360"/>
        <w:jc w:val="both"/>
        <w:rPr/>
      </w:pPr>
      <w:hyperlink r:id="rId42">
        <w:r>
          <w:rPr>
            <w:rStyle w:val="ListLabel28"/>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Normal1"/>
        <w:numPr>
          <w:ilvl w:val="0"/>
          <w:numId w:val="1"/>
        </w:numPr>
        <w:ind w:left="1440" w:hanging="360"/>
        <w:jc w:val="both"/>
        <w:rPr/>
      </w:pPr>
      <w:hyperlink r:id="rId43">
        <w:r>
          <w:rPr>
            <w:rStyle w:val="ListLabel28"/>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Normal1"/>
        <w:numPr>
          <w:ilvl w:val="0"/>
          <w:numId w:val="1"/>
        </w:numPr>
        <w:ind w:left="1440" w:hanging="360"/>
        <w:jc w:val="both"/>
        <w:rPr/>
      </w:pPr>
      <w:hyperlink r:id="rId44">
        <w:r>
          <w:rPr>
            <w:rStyle w:val="ListLabel28"/>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Русскоязычне про NDVI</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2"/>
        </w:numPr>
        <w:ind w:left="720" w:hanging="360"/>
        <w:rPr/>
      </w:pPr>
      <w:r>
        <w:rPr>
          <w:rFonts w:eastAsia="Times New Roman" w:cs="Times New Roman" w:ascii="Times New Roman" w:hAnsi="Times New Roman"/>
          <w:sz w:val="28"/>
          <w:szCs w:val="28"/>
        </w:rPr>
        <w:t xml:space="preserve">Л. Д. Немцева, Е. И. Голубева Данные дистанционного зондирования и наземного спектрометрирования в исследовании состояния растительности степей в условиях выпаса // Проблемы региональной экологии. 2018. №4. URL: </w:t>
      </w:r>
      <w:hyperlink r:id="rId45">
        <w:r>
          <w:rPr>
            <w:rStyle w:val="ListLabel28"/>
            <w:rFonts w:eastAsia="Times New Roman" w:cs="Times New Roman" w:ascii="Times New Roman" w:hAnsi="Times New Roman"/>
            <w:color w:val="1155CC"/>
            <w:sz w:val="28"/>
            <w:szCs w:val="28"/>
            <w:u w:val="single"/>
          </w:rPr>
          <w:t>https://cyberleninka.ru/article/n/dannye-distantsionnogo-zondirovaniya-i-nazemnogo-spektrometrirovaniya-v-issledovanii-sostoyaniya-rastitelnosti-stepey-v-usloviyah</w:t>
        </w:r>
      </w:hyperlink>
      <w:r>
        <w:rPr>
          <w:rFonts w:eastAsia="Times New Roman" w:cs="Times New Roman" w:ascii="Times New Roman" w:hAnsi="Times New Roman"/>
          <w:sz w:val="28"/>
          <w:szCs w:val="28"/>
        </w:rPr>
        <w:t xml:space="preserve"> (дата обращения: 11.11.2022).</w:t>
      </w:r>
    </w:p>
    <w:p>
      <w:pPr>
        <w:pStyle w:val="Normal1"/>
        <w:numPr>
          <w:ilvl w:val="0"/>
          <w:numId w:val="2"/>
        </w:numPr>
        <w:ind w:left="720" w:hanging="360"/>
        <w:rPr/>
      </w:pPr>
      <w:r>
        <w:rPr>
          <w:rFonts w:eastAsia="Times New Roman" w:cs="Times New Roman" w:ascii="Times New Roman" w:hAnsi="Times New Roman"/>
          <w:sz w:val="28"/>
          <w:szCs w:val="28"/>
        </w:rPr>
        <w:t xml:space="preserve">Н. Г. Лапенко, Ф. В. Ерошенко, И. Г. Сторчак, Л. В. Дудченко, Е. О. Шестакова Деградационные процессы в степных сообществах и данные дистанционного зондирования Земли // Достижения науки и техники АПК. 2018. №10. URL: </w:t>
      </w:r>
      <w:hyperlink r:id="rId46">
        <w:r>
          <w:rPr>
            <w:rStyle w:val="ListLabel28"/>
            <w:rFonts w:eastAsia="Times New Roman" w:cs="Times New Roman" w:ascii="Times New Roman" w:hAnsi="Times New Roman"/>
            <w:color w:val="1155CC"/>
            <w:sz w:val="28"/>
            <w:szCs w:val="28"/>
            <w:u w:val="single"/>
          </w:rPr>
          <w:t xml:space="preserve">https://cyberleninka.ru/article/n/degradatsionnye-protsessy-v-stepnyh-soobschestvah-i-dannye-distantsionnogo-zondirovaniya-zemli </w:t>
        </w:r>
      </w:hyperlink>
      <w:r>
        <w:rPr>
          <w:rFonts w:eastAsia="Times New Roman" w:cs="Times New Roman" w:ascii="Times New Roman" w:hAnsi="Times New Roman"/>
          <w:sz w:val="28"/>
          <w:szCs w:val="28"/>
        </w:rPr>
        <w:t>(дата обращения: 11.11.2022).</w:t>
      </w:r>
    </w:p>
    <w:p>
      <w:pPr>
        <w:pStyle w:val="Normal1"/>
        <w:numPr>
          <w:ilvl w:val="0"/>
          <w:numId w:val="2"/>
        </w:numPr>
        <w:ind w:left="720" w:hanging="360"/>
        <w:rPr/>
      </w:pPr>
      <w:r>
        <w:rPr>
          <w:rFonts w:eastAsia="Times New Roman" w:cs="Times New Roman" w:ascii="Times New Roman" w:hAnsi="Times New Roman"/>
          <w:sz w:val="28"/>
          <w:szCs w:val="28"/>
        </w:rPr>
        <w:t xml:space="preserve">Ерошенко Фёдор Владимирович, Лапенко Нина Григорьевна, Сторчак Ирина Геннадьевна Использование данных дистанционного зондирования земли для оценки состояния и степени деградации естественных пастбищных угодий // Известия ОГАУ. 2018. №5 (73). URL: </w:t>
      </w:r>
      <w:hyperlink r:id="rId47">
        <w:r>
          <w:rPr>
            <w:rStyle w:val="ListLabel28"/>
            <w:rFonts w:eastAsia="Times New Roman" w:cs="Times New Roman" w:ascii="Times New Roman" w:hAnsi="Times New Roman"/>
            <w:color w:val="1155CC"/>
            <w:sz w:val="28"/>
            <w:szCs w:val="28"/>
            <w:u w:val="single"/>
          </w:rPr>
          <w:t>https://cyberleninka.ru/article/n/ispolzovanie-dannyh-distantsionnogo-zondirovaniya-zemli-dlya-otsenki-sostoyaniya-i-stepeni-degradatsii-estestvennyh-pastbischnyh</w:t>
        </w:r>
      </w:hyperlink>
      <w:r>
        <w:rPr>
          <w:rFonts w:eastAsia="Times New Roman" w:cs="Times New Roman" w:ascii="Times New Roman" w:hAnsi="Times New Roman"/>
          <w:sz w:val="28"/>
          <w:szCs w:val="28"/>
        </w:rPr>
        <w:t xml:space="preserve"> (дата обращения: 11.11.2022).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А.А. Оценка состояния травостоя c помощью вегетационного индекса NDVI // Известия СПбГАУ. 2018. №2 (51). URL: </w:t>
      </w:r>
      <w:hyperlink r:id="rId48">
        <w:r>
          <w:rPr>
            <w:rStyle w:val="ListLabel28"/>
            <w:rFonts w:eastAsia="Times New Roman" w:cs="Times New Roman" w:ascii="Times New Roman" w:hAnsi="Times New Roman"/>
            <w:color w:val="1155CC"/>
            <w:sz w:val="28"/>
            <w:szCs w:val="28"/>
            <w:u w:val="single"/>
          </w:rPr>
          <w:t>https://cyberleninka.ru/article/n/otsenka-sostoyaniya-travostoya-c-pomoschyu-vegetatsionnogo-indeksa-ndvi</w:t>
        </w:r>
      </w:hyperlink>
      <w:r>
        <w:rPr>
          <w:rFonts w:eastAsia="Times New Roman" w:cs="Times New Roman" w:ascii="Times New Roman" w:hAnsi="Times New Roman"/>
          <w:sz w:val="28"/>
          <w:szCs w:val="28"/>
        </w:rPr>
        <w:t xml:space="preserve"> (дата обращения: 11.11.2022).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Андрей Алексеевич, Кирсанов Андрей Дмитриевич, Малашин Сергей Николаевич Сравнительная характеристика различных вегетационных индексов при оценке состояния растительного покрова кормовых трав // Известия СПбГАУ. 2021. №2 (63). URL: </w:t>
      </w:r>
      <w:hyperlink r:id="rId49">
        <w:r>
          <w:rPr>
            <w:rStyle w:val="ListLabel28"/>
            <w:rFonts w:eastAsia="Times New Roman" w:cs="Times New Roman" w:ascii="Times New Roman" w:hAnsi="Times New Roman"/>
            <w:color w:val="1155CC"/>
            <w:sz w:val="28"/>
            <w:szCs w:val="28"/>
            <w:u w:val="single"/>
          </w:rPr>
          <w:t xml:space="preserve">https://cyberleninka.ru/article/n/sravnitelnaya-harakteristika-razlichnyh-vegetatsionnyh-indeksov-pri-otsenke-sostoyaniya-rastitelnogo-pokrova-kormovyh-trav </w:t>
        </w:r>
      </w:hyperlink>
      <w:r>
        <w:rPr>
          <w:rFonts w:eastAsia="Times New Roman" w:cs="Times New Roman" w:ascii="Times New Roman" w:hAnsi="Times New Roman"/>
          <w:sz w:val="28"/>
          <w:szCs w:val="28"/>
        </w:rPr>
        <w:t>(дата обращения: 11.11.2022).</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Англоязычные про NDVI</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3"/>
        </w:numPr>
        <w:ind w:left="720" w:hanging="360"/>
        <w:rPr/>
      </w:pPr>
      <w:hyperlink r:id="rId50">
        <w:r>
          <w:rPr>
            <w:rStyle w:val="ListLabel28"/>
            <w:rFonts w:eastAsia="Times New Roman" w:cs="Times New Roman" w:ascii="Times New Roman" w:hAnsi="Times New Roman"/>
            <w:color w:val="1155CC"/>
            <w:sz w:val="28"/>
            <w:szCs w:val="28"/>
            <w:u w:val="single"/>
          </w:rPr>
          <w:t xml:space="preserve">https://www.sciencedirect.com/science/article/pii/S1470160X21002697 </w:t>
        </w:r>
      </w:hyperlink>
      <w:r>
        <w:rPr>
          <w:rFonts w:eastAsia="Times New Roman" w:cs="Times New Roman" w:ascii="Times New Roman" w:hAnsi="Times New Roman"/>
          <w:sz w:val="28"/>
          <w:szCs w:val="28"/>
        </w:rPr>
        <w:t>(Liu, Qionghuan &amp; Wang, Xiuhong &amp; Zhang, Yili &amp; Li, Shicheng. (2022). Complex Ecosystem Impact of Rapid Expansion of Industrial and Mining Land on the Tibetan Plateau. Remote Sensing. 14. 872. 10.3390/rs14040872.)</w:t>
      </w:r>
    </w:p>
    <w:p>
      <w:pPr>
        <w:pStyle w:val="Normal1"/>
        <w:numPr>
          <w:ilvl w:val="0"/>
          <w:numId w:val="3"/>
        </w:numPr>
        <w:ind w:left="720" w:hanging="360"/>
        <w:rPr/>
      </w:pPr>
      <w:hyperlink r:id="rId51">
        <w:r>
          <w:rPr>
            <w:rStyle w:val="ListLabel28"/>
            <w:rFonts w:eastAsia="Times New Roman" w:cs="Times New Roman" w:ascii="Times New Roman" w:hAnsi="Times New Roman"/>
            <w:color w:val="1155CC"/>
            <w:sz w:val="28"/>
            <w:szCs w:val="28"/>
            <w:u w:val="single"/>
          </w:rPr>
          <w:t>https://www.semanticscholar.org/paper/Satellite-derived-evidence-of-whole-farmlet-and-to-Donald-Scott/29da581d80459bdd3e0b10faeb1877deada3f43d</w:t>
        </w:r>
      </w:hyperlink>
      <w:r>
        <w:rPr>
          <w:rFonts w:eastAsia="Times New Roman" w:cs="Times New Roman" w:ascii="Times New Roman" w:hAnsi="Times New Roman"/>
          <w:sz w:val="28"/>
          <w:szCs w:val="28"/>
        </w:rPr>
        <w:t xml:space="preserve"> (Donald, Graham E. et al. “Satellite derived evidence of whole farmlet and paddock responses to management and climate.” Animal Production Science 53 (2013): 699-710.)</w:t>
      </w:r>
    </w:p>
    <w:p>
      <w:pPr>
        <w:pStyle w:val="Normal1"/>
        <w:numPr>
          <w:ilvl w:val="0"/>
          <w:numId w:val="3"/>
        </w:numPr>
        <w:ind w:left="720" w:hanging="360"/>
        <w:rPr/>
      </w:pPr>
      <w:hyperlink r:id="rId52">
        <w:r>
          <w:rPr>
            <w:rStyle w:val="ListLabel28"/>
            <w:rFonts w:eastAsia="Times New Roman" w:cs="Times New Roman" w:ascii="Times New Roman" w:hAnsi="Times New Roman"/>
            <w:color w:val="1155CC"/>
            <w:sz w:val="28"/>
            <w:szCs w:val="28"/>
            <w:u w:val="single"/>
          </w:rPr>
          <w:t>https://www.researchgate.net/publication/336895622_Using_Sensors_and_Unmanned_Aircraft_Systems_for_High-Throughput_Phenotyping_of_Biomass_in_Perennial_Ryegrass_Breeding_Trials/citation/download</w:t>
        </w:r>
      </w:hyperlink>
      <w:r>
        <w:rPr>
          <w:rFonts w:eastAsia="Times New Roman" w:cs="Times New Roman" w:ascii="Times New Roman" w:hAnsi="Times New Roman"/>
          <w:sz w:val="28"/>
          <w:szCs w:val="28"/>
        </w:rPr>
        <w:t xml:space="preserve"> (Wang, Junping &amp; Badenhorst, Pieter &amp; Phelan, Andrew &amp; Pembleton, Luke &amp; Shi, Fan &amp; Cogan, Noel &amp; Spangenberg, German &amp; Smith, Kevin. (2019). Using Sensors and Unmanned Aircraft Systems for High-Throughput Phenotyping of Biomass in Perennial Ryegrass Breeding Trials. Frontiers in Plant Science. 10. 1381. 10.3389/fpls.2019.01381.)</w:t>
      </w:r>
    </w:p>
    <w:p>
      <w:pPr>
        <w:pStyle w:val="Normal1"/>
        <w:numPr>
          <w:ilvl w:val="0"/>
          <w:numId w:val="3"/>
        </w:numPr>
        <w:ind w:left="720" w:hanging="360"/>
        <w:rPr/>
      </w:pPr>
      <w:hyperlink r:id="rId53">
        <w:r>
          <w:rPr>
            <w:rStyle w:val="ListLabel28"/>
            <w:rFonts w:eastAsia="Times New Roman" w:cs="Times New Roman" w:ascii="Times New Roman" w:hAnsi="Times New Roman"/>
            <w:color w:val="1155CC"/>
            <w:sz w:val="28"/>
            <w:szCs w:val="28"/>
            <w:u w:val="single"/>
          </w:rPr>
          <w:t>https://www.researchgate.net/publication/336812017_Development_and_Validation_of_a_Model_to_Combine_NDVI_and_Plant_Height_for_High-Throughput_Phenotyping_of_Herbage_Yield_in_a_Perennial_Ryegrass_Breeding_Program/citation/download</w:t>
        </w:r>
      </w:hyperlink>
      <w:r>
        <w:rPr>
          <w:rFonts w:eastAsia="Times New Roman" w:cs="Times New Roman" w:ascii="Times New Roman" w:hAnsi="Times New Roman"/>
          <w:sz w:val="28"/>
          <w:szCs w:val="28"/>
        </w:rPr>
        <w:t xml:space="preserve"> (Gebremedhin, Alem &amp; Badenhorst, Pieter &amp; Wang, Junping &amp; Giri, Khageswor &amp; Spangenberg, German &amp; Smith, Kevin. (2019). Development and Validation of a Model to Combine NDVI and Plant Height for High-Throughput Phenotyping of Herbage Yield in a Perennial Ryegrass Breeding Program. Remote Sensing. 11. 2494. 10.3390/rs11212494.)</w:t>
      </w:r>
    </w:p>
    <w:p>
      <w:pPr>
        <w:pStyle w:val="Normal1"/>
        <w:numPr>
          <w:ilvl w:val="0"/>
          <w:numId w:val="3"/>
        </w:numPr>
        <w:ind w:left="720" w:hanging="360"/>
        <w:rPr/>
      </w:pPr>
      <w:hyperlink r:id="rId54">
        <w:r>
          <w:rPr>
            <w:rStyle w:val="ListLabel28"/>
            <w:rFonts w:eastAsia="Times New Roman" w:cs="Times New Roman" w:ascii="Times New Roman" w:hAnsi="Times New Roman"/>
            <w:color w:val="1155CC"/>
            <w:sz w:val="28"/>
            <w:szCs w:val="28"/>
            <w:u w:val="single"/>
          </w:rPr>
          <w:t>https://www.researchgate.net/publication/359701923_Evaluating_Several_Vegetation_Indices_Derived_from_Sentinel-2_Imagery_for_Quantifying_Localized_Overgrazing_in_a_Semi-Arid_Region_of_South_Africa/citation/download</w:t>
        </w:r>
      </w:hyperlink>
      <w:r>
        <w:rPr>
          <w:rFonts w:eastAsia="Times New Roman" w:cs="Times New Roman" w:ascii="Times New Roman" w:hAnsi="Times New Roman"/>
          <w:sz w:val="28"/>
          <w:szCs w:val="28"/>
        </w:rPr>
        <w:t xml:space="preserve"> (Harmse, Christiaan &amp; Gerber, Hannes &amp; Niekerk, Adriaan. (2022). Evaluating Several Vegetation Indices Derived from Sentinel-2 Imagery for Quantifying Localized Overgrazing in a Semi-Arid Region of South Africa. Remote Sensing. 14. 1720. 10.3390/rs14071720.)</w:t>
      </w:r>
    </w:p>
    <w:p>
      <w:pPr>
        <w:pStyle w:val="Normal1"/>
        <w:numPr>
          <w:ilvl w:val="0"/>
          <w:numId w:val="3"/>
        </w:numPr>
        <w:ind w:left="720" w:hanging="360"/>
        <w:rPr/>
      </w:pPr>
      <w:hyperlink r:id="rId55">
        <w:r>
          <w:rPr>
            <w:rStyle w:val="ListLabel28"/>
            <w:rFonts w:eastAsia="Times New Roman" w:cs="Times New Roman" w:ascii="Times New Roman" w:hAnsi="Times New Roman"/>
            <w:color w:val="1155CC"/>
            <w:sz w:val="28"/>
            <w:szCs w:val="28"/>
            <w:u w:val="single"/>
          </w:rPr>
          <w:t>https://www.researchgate.net/publication/360569201_Using_Satellite_NDVI_Time-Series_to_Monitor_Grazing_Effects_on_Vegetation_Productivity_and_Phenology_in_Heterogeneous_Mediterranean_Forests/citation/download</w:t>
        </w:r>
      </w:hyperlink>
      <w:r>
        <w:rPr>
          <w:rFonts w:eastAsia="Times New Roman" w:cs="Times New Roman" w:ascii="Times New Roman" w:hAnsi="Times New Roman"/>
          <w:sz w:val="28"/>
          <w:szCs w:val="28"/>
        </w:rPr>
        <w:t xml:space="preserve"> (Balata, Duarte &amp; Gama, Ivo &amp; Domingos, Tiago &amp; Proença, Vânia. (2022). Using Satellite NDVI Time-Series to Monitor Grazing Effects on Vegetation Productivity and Phenology in Heterogeneous Mediterranean Forests. Remote Sensing. 14. 2322. 10.3390/rs14102322.)</w:t>
      </w:r>
    </w:p>
    <w:sectPr>
      <w:type w:val="nextPage"/>
      <w:pgSz w:w="11906" w:h="16838"/>
      <w:pgMar w:left="1440" w:right="1440" w:header="0" w:top="425"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8"/>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Times New Roman" w:cs="Times New Roman"/>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75087&amp;_cid=P12-L2AAV7-37292-1" TargetMode="External"/><Relationship Id="rId15" Type="http://schemas.openxmlformats.org/officeDocument/2006/relationships/hyperlink" Target="https://patentscope.wipo.int/search/ru/detail.jsf?docId=RU92334303&amp;_cid=P12-L2AAV7-37292-1" TargetMode="External"/><Relationship Id="rId16" Type="http://schemas.openxmlformats.org/officeDocument/2006/relationships/hyperlink" Target="https://worldwide.espacenet.com/patent/search/family/069405002/publication/US2020045931A1?q=pn%3DUS2020045931A1" TargetMode="External"/><Relationship Id="rId17" Type="http://schemas.openxmlformats.org/officeDocument/2006/relationships/hyperlink" Target="https://worldwide.espacenet.com/patent/search/family/075108758/publication/RS20201177A1?q=pn%3DRS20201177A1" TargetMode="External"/><Relationship Id="rId18" Type="http://schemas.openxmlformats.org/officeDocument/2006/relationships/hyperlink" Target="https://worldwide.espacenet.com/patent/search/family/067847732/publication/US2021267161A1?q=pn%3DUS2021267161A1" TargetMode="External"/><Relationship Id="rId19" Type="http://schemas.openxmlformats.org/officeDocument/2006/relationships/hyperlink" Target="https://worldwide.espacenet.com/patent/search/family/065678951/publication/RU187419U1?q=pn%3DRU187419U1" TargetMode="External"/><Relationship Id="rId20" Type="http://schemas.openxmlformats.org/officeDocument/2006/relationships/hyperlink" Target="https://worldwide.espacenet.com/patent/search/family/068617985/publication/US2020128785A1?q=pn%3DUS2020128785A1" TargetMode="External"/><Relationship Id="rId21" Type="http://schemas.openxmlformats.org/officeDocument/2006/relationships/hyperlink" Target="https://www.sciencedirect.com/science/article/pii/S0022030221004811" TargetMode="External"/><Relationship Id="rId22" Type="http://schemas.openxmlformats.org/officeDocument/2006/relationships/hyperlink" Target="https://www.mdpi.com/2076-2615/9/7/429" TargetMode="External"/><Relationship Id="rId23" Type="http://schemas.openxmlformats.org/officeDocument/2006/relationships/hyperlink" Target="https://www.sciencedirect.com/science/article/pii/S002203022100480X" TargetMode="External"/><Relationship Id="rId24" Type="http://schemas.openxmlformats.org/officeDocument/2006/relationships/hyperlink" Target="https://www.sciencedirect.com/science/article/abs/pii/S0168169919309445" TargetMode="External"/><Relationship Id="rId25" Type="http://schemas.openxmlformats.org/officeDocument/2006/relationships/hyperlink" Target="https://www.frontiersin.org/articles/10.3389/fvets.2019.00445/full" TargetMode="External"/><Relationship Id="rId26" Type="http://schemas.openxmlformats.org/officeDocument/2006/relationships/hyperlink" Target="https://www.publish.csiro.au/an/AN21459" TargetMode="External"/><Relationship Id="rId27" Type="http://schemas.openxmlformats.org/officeDocument/2006/relationships/hyperlink" Target="https://worldwide.espacenet.com/patent/search/family/044304457/publication/US2013008391A1?q=pn%3DUS2013008391A1" TargetMode="External"/><Relationship Id="rId28" Type="http://schemas.openxmlformats.org/officeDocument/2006/relationships/hyperlink" Target="https://worldwide.espacenet.com/patent/search/family/057111158/publication/US10098324B2?q=pn%3DUS10098324B2" TargetMode="External"/><Relationship Id="rId29" Type="http://schemas.openxmlformats.org/officeDocument/2006/relationships/hyperlink" Target="https://worldwide.espacenet.com/patent/search/family/066546232/publication/KR20190048161A?q=pn%3DKR20190048161A" TargetMode="External"/><Relationship Id="rId30" Type="http://schemas.openxmlformats.org/officeDocument/2006/relationships/hyperlink" Target="https://worldwide.espacenet.com/patent/search/family/072708733/publication/KR102159319B1?q=pn%3DKR102159319B1" TargetMode="External"/><Relationship Id="rId31" Type="http://schemas.openxmlformats.org/officeDocument/2006/relationships/hyperlink" Target="https://worldwide.espacenet.com/patent/search/family/072110285/publication/CN111567441A?q=pn%3DCN111567441A" TargetMode="External"/><Relationship Id="rId32" Type="http://schemas.openxmlformats.org/officeDocument/2006/relationships/hyperlink" Target="https://worldwide.espacenet.com/patent/search/family/060577514/publication/CN109640640A?q=pn%3DCN109640640A" TargetMode="External"/><Relationship Id="rId33" Type="http://schemas.openxmlformats.org/officeDocument/2006/relationships/hyperlink" Target="https://worldwide.espacenet.com/patent/search/family/074661151/publication/WO2021033732A1?q=pn%3DWO2021033732A1" TargetMode="External"/><Relationship Id="rId34" Type="http://schemas.openxmlformats.org/officeDocument/2006/relationships/hyperlink" Target="https://worldwide.espacenet.com/patent/search/family/068295839/publication/US2021059213A1?q=pn%3DUS2021059213A1" TargetMode="External"/><Relationship Id="rId35" Type="http://schemas.openxmlformats.org/officeDocument/2006/relationships/hyperlink" Target="https://worldwide.espacenet.com/patent/search/family/078994872/publication/CN113869848A?q=pn%3DCN113869848A" TargetMode="External"/><Relationship Id="rId36" Type="http://schemas.openxmlformats.org/officeDocument/2006/relationships/hyperlink" Target="https://cyberleninka.ru/article/n/primenenie-dannyh-distantsionnogo-zondirovaniya-dlya-monitoringa-ispolzovaniya-zemel-selskohozyaystvennogo-naznacheniya" TargetMode="External"/><Relationship Id="rId37" Type="http://schemas.openxmlformats.org/officeDocument/2006/relationships/hyperlink" Target="https://cyberleninka.ru/article/n/effektivnost-ispolzovaniya-selskohozyaystvennyh-zemel-v-kazahstane" TargetMode="External"/><Relationship Id="rId38" Type="http://schemas.openxmlformats.org/officeDocument/2006/relationships/hyperlink" Target="https://cyberleninka.ru/article/n/tsifrovye-tehnologii-v-organizatsii-pastbischnogo-zhivotnovodstva" TargetMode="External"/><Relationship Id="rId39" Type="http://schemas.openxmlformats.org/officeDocument/2006/relationships/hyperlink" Target="https://www.journalofdairyscience.org/article/S0022-0302(21)00480-X/fulltext" TargetMode="External"/><Relationship Id="rId40" Type="http://schemas.openxmlformats.org/officeDocument/2006/relationships/hyperlink" Target="https://www.sciencedirect.com/science/article/pii/S0190052821000687" TargetMode="External"/><Relationship Id="rId41" Type="http://schemas.openxmlformats.org/officeDocument/2006/relationships/hyperlink" Target="https://academic.oup.com/jpe/article/9/6/649/2623732" TargetMode="External"/><Relationship Id="rId42" Type="http://schemas.openxmlformats.org/officeDocument/2006/relationships/hyperlink" Target="https://www.mdpi.com/1424-8220/19/7/1598" TargetMode="External"/><Relationship Id="rId43" Type="http://schemas.openxmlformats.org/officeDocument/2006/relationships/hyperlink" Target="https://www.mdpi.com/2076-2615/8/3/31" TargetMode="External"/><Relationship Id="rId44" Type="http://schemas.openxmlformats.org/officeDocument/2006/relationships/hyperlink" Target="https://www.publish.csiro.au/an/AN20525" TargetMode="External"/><Relationship Id="rId45" Type="http://schemas.openxmlformats.org/officeDocument/2006/relationships/hyperlink" Target="https://cyberleninka.ru/article/n/dannye-distantsionnogo-zondirovaniya-i-nazemnogo-spektrometrirovaniya-v-issledovanii-sostoyaniya-rastitelnosti-stepey-v-usloviyah" TargetMode="External"/><Relationship Id="rId46" Type="http://schemas.openxmlformats.org/officeDocument/2006/relationships/hyperlink" Target="https://cyberleninka.ru/article/n/degradatsionnye-protsessy-v-stepnyh-soobschestvah-i-dannye-distantsionnogo-zondirovaniya-zemli" TargetMode="External"/><Relationship Id="rId47" Type="http://schemas.openxmlformats.org/officeDocument/2006/relationships/hyperlink" Target="https://cyberleninka.ru/article/n/ispolzovanie-dannyh-distantsionnogo-zondirovaniya-zemli-dlya-otsenki-sostoyaniya-i-stepeni-degradatsii-estestvennyh-pastbischnyh" TargetMode="External"/><Relationship Id="rId48" Type="http://schemas.openxmlformats.org/officeDocument/2006/relationships/hyperlink" Target="https://cyberleninka.ru/article/n/otsenka-sostoyaniya-travostoya-c-pomoschyu-vegetatsionnogo-indeksa-ndvi" TargetMode="External"/><Relationship Id="rId49" Type="http://schemas.openxmlformats.org/officeDocument/2006/relationships/hyperlink" Target="https://cyberleninka.ru/article/n/sravnitelnaya-harakteristika-razlichnyh-vegetatsionnyh-indeksov-pri-otsenke-sostoyaniya-rastitelnogo-pokrova-kormovyh-trav" TargetMode="External"/><Relationship Id="rId50" Type="http://schemas.openxmlformats.org/officeDocument/2006/relationships/hyperlink" Target="https://www.sciencedirect.com/science/article/pii/S1470160X21002697" TargetMode="External"/><Relationship Id="rId51" Type="http://schemas.openxmlformats.org/officeDocument/2006/relationships/hyperlink" Target="https://www.semanticscholar.org/paper/Satellite-derived-evidence-of-whole-farmlet-and-to-Donald-Scott/29da581d80459bdd3e0b10faeb1877deada3f43d" TargetMode="External"/><Relationship Id="rId52" Type="http://schemas.openxmlformats.org/officeDocument/2006/relationships/hyperlink" Target="https://www.researchgate.net/publication/336895622_Using_Sensors_and_Unmanned_Aircraft_Systems_for_High-Throughput_Phenotyping_of_Biomass_in_Perennial_Ryegrass_Breeding_Trials/citation/download" TargetMode="External"/><Relationship Id="rId53" Type="http://schemas.openxmlformats.org/officeDocument/2006/relationships/hyperlink" Target="https://www.researchgate.net/publication/336812017_Development_and_Validation_of_a_Model_to_Combine_NDVI_and_Plant_Height_for_High-Throughput_Phenotyping_of_Herbage_Yield_in_a_Perennial_Ryegrass_Breeding_Program/citation/download" TargetMode="External"/><Relationship Id="rId54" Type="http://schemas.openxmlformats.org/officeDocument/2006/relationships/hyperlink" Target="https://www.researchgate.net/publication/359701923_Evaluating_Several_Vegetation_Indices_Derived_from_Sentinel-2_Imagery_for_Quantifying_Localized_Overgrazing_in_a_Semi-Arid_Region_of_South_Africa/citation/download" TargetMode="External"/><Relationship Id="rId55" Type="http://schemas.openxmlformats.org/officeDocument/2006/relationships/hyperlink" Target="https://www.researchgate.net/publication/360569201_Using_Satellite_NDVI_Time-Series_to_Monitor_Grazing_Effects_on_Vegetation_Productivity_and_Phenology_in_Heterogeneous_Mediterranean_Forests/citation/download" TargetMode="Externa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Trio_Office/6.2.8.2$Windows_x86 LibreOffice_project/</Application>
  <Pages>37</Pages>
  <Words>5406</Words>
  <Characters>44280</Characters>
  <CharactersWithSpaces>49201</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2022-11-14T23:45:39Z</dcterms:modified>
  <cp:revision>2</cp:revision>
  <dc:subject/>
  <dc:title/>
</cp:coreProperties>
</file>