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beforeAutospacing="0" w:before="0" w:afterAutospacing="0" w:after="0"/>
        <w:jc w:val="center"/>
        <w:rPr/>
      </w:pPr>
      <w:r>
        <w:rPr>
          <w:b/>
          <w:bCs/>
          <w:sz w:val="28"/>
          <w:szCs w:val="28"/>
          <w:shd w:fill="auto" w:val="clear"/>
          <w:lang w:val="ru-RU"/>
        </w:rPr>
        <w:t>Казахский агротехнический университет имени Сакена Сейфуллина</w:t>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lineRule="auto" w:line="360" w:beforeAutospacing="0" w:before="0" w:afterAutospacing="0" w:after="0"/>
        <w:rPr/>
      </w:pPr>
      <w:r>
        <w:rPr>
          <w:bCs/>
          <w:sz w:val="28"/>
          <w:szCs w:val="28"/>
          <w:shd w:fill="auto" w:val="clear"/>
          <w:lang w:val="ru-RU"/>
        </w:rPr>
        <w:t>Энергетический факультет</w:t>
      </w:r>
    </w:p>
    <w:p>
      <w:pPr>
        <w:pStyle w:val="NormalWeb"/>
        <w:shd w:val="clear" w:color="auto" w:fill="FFFFFF"/>
        <w:spacing w:lineRule="auto" w:line="360" w:beforeAutospacing="0" w:before="0" w:afterAutospacing="0" w:after="0"/>
        <w:rPr/>
      </w:pPr>
      <w:r>
        <w:rPr>
          <w:bCs/>
          <w:sz w:val="28"/>
          <w:szCs w:val="28"/>
          <w:shd w:fill="auto" w:val="clear"/>
          <w:lang w:val="ru-RU"/>
        </w:rPr>
        <w:t>Кафедра эксплуатации электрооборудования</w:t>
      </w:r>
    </w:p>
    <w:p>
      <w:pPr>
        <w:pStyle w:val="NormalWeb"/>
        <w:shd w:val="clear" w:color="auto" w:fill="FFFFFF"/>
        <w:spacing w:lineRule="auto" w:line="360" w:beforeAutospacing="0" w:before="0" w:afterAutospacing="0" w:after="0"/>
        <w:rPr/>
      </w:pPr>
      <w:r>
        <w:rPr>
          <w:bCs/>
          <w:sz w:val="28"/>
          <w:szCs w:val="28"/>
          <w:shd w:fill="auto" w:val="clear"/>
          <w:lang w:val="ru-RU"/>
        </w:rPr>
        <w:t>Специальность:</w:t>
      </w:r>
      <w:r>
        <w:rPr>
          <w:bCs/>
          <w:sz w:val="28"/>
          <w:szCs w:val="28"/>
          <w:lang w:val="ru-RU"/>
        </w:rPr>
        <w:t xml:space="preserve"> D100 «Автоматизация и управление»</w:t>
      </w:r>
    </w:p>
    <w:p>
      <w:pPr>
        <w:pStyle w:val="NormalWeb"/>
        <w:shd w:val="clear" w:color="auto" w:fill="FFFFFF"/>
        <w:spacing w:beforeAutospacing="0" w:before="0" w:afterAutospacing="0" w:after="0"/>
        <w:rPr>
          <w:b/>
          <w:b/>
          <w:bCs/>
          <w:sz w:val="28"/>
          <w:szCs w:val="28"/>
          <w:lang w:val="ru-RU"/>
        </w:rPr>
      </w:pPr>
      <w:r>
        <w:rPr>
          <w:b/>
          <w:bCs/>
          <w:sz w:val="28"/>
          <w:szCs w:val="28"/>
          <w:lang w:val="ru-RU"/>
        </w:rPr>
      </w:r>
    </w:p>
    <w:p>
      <w:pPr>
        <w:pStyle w:val="NormalWeb"/>
        <w:shd w:val="clear" w:color="auto" w:fill="FFFFFF"/>
        <w:spacing w:lineRule="auto" w:line="360" w:beforeAutospacing="0" w:before="0" w:afterAutospacing="0" w:after="0"/>
        <w:rPr>
          <w:b/>
          <w:b/>
          <w:bCs/>
          <w:sz w:val="28"/>
          <w:szCs w:val="28"/>
          <w:lang w:val="ru-RU"/>
        </w:rPr>
      </w:pPr>
      <w:r>
        <w:rPr>
          <w:b/>
          <w:bCs/>
          <w:sz w:val="28"/>
          <w:szCs w:val="28"/>
          <w:lang w:val="ru-RU"/>
        </w:rPr>
      </w:r>
    </w:p>
    <w:p>
      <w:pPr>
        <w:pStyle w:val="NormalWeb"/>
        <w:shd w:val="clear" w:color="auto" w:fill="FFFFFF"/>
        <w:spacing w:lineRule="auto" w:line="360" w:beforeAutospacing="0" w:before="0" w:afterAutospacing="0" w:after="0"/>
        <w:jc w:val="center"/>
        <w:rPr/>
      </w:pPr>
      <w:r>
        <w:rPr>
          <w:b/>
          <w:bCs/>
          <w:sz w:val="40"/>
          <w:szCs w:val="28"/>
          <w:shd w:fill="auto" w:val="clear"/>
          <w:lang w:val="ru-RU"/>
        </w:rPr>
        <w:t>ОТЧЕТ</w:t>
      </w:r>
    </w:p>
    <w:p>
      <w:pPr>
        <w:pStyle w:val="NormalWeb"/>
        <w:shd w:val="clear" w:color="auto" w:fill="FFFFFF"/>
        <w:spacing w:lineRule="auto" w:line="360" w:beforeAutospacing="0" w:before="0" w:afterAutospacing="0" w:after="0"/>
        <w:jc w:val="center"/>
        <w:rPr/>
      </w:pPr>
      <w:r>
        <w:rPr>
          <w:b/>
          <w:bCs/>
          <w:sz w:val="40"/>
          <w:szCs w:val="28"/>
          <w:shd w:fill="auto" w:val="clear"/>
          <w:lang w:val="ru-RU"/>
        </w:rPr>
        <w:t xml:space="preserve">ПО НАУЧНО-ИССЛЕДОВАТЕЛЬСКОЙ РАБОТЕ </w:t>
      </w:r>
      <w:r>
        <w:rPr>
          <w:b/>
          <w:bCs/>
          <w:sz w:val="40"/>
          <w:szCs w:val="28"/>
          <w:lang w:val="ru-RU"/>
        </w:rPr>
        <w:t>ДОКТОРАНТА</w:t>
      </w:r>
    </w:p>
    <w:p>
      <w:pPr>
        <w:pStyle w:val="NormalWeb"/>
        <w:shd w:val="clear" w:color="auto" w:fill="FFFFFF"/>
        <w:spacing w:lineRule="auto" w:line="360" w:beforeAutospacing="0" w:before="0" w:afterAutospacing="0" w:after="0"/>
        <w:jc w:val="center"/>
        <w:rPr/>
      </w:pPr>
      <w:r>
        <w:rPr>
          <w:b/>
          <w:bCs/>
          <w:sz w:val="40"/>
          <w:szCs w:val="28"/>
          <w:shd w:fill="auto" w:val="clear"/>
          <w:lang w:val="ru-RU"/>
        </w:rPr>
        <w:t xml:space="preserve">за </w:t>
      </w:r>
      <w:r>
        <w:rPr>
          <w:b/>
          <w:bCs/>
          <w:sz w:val="40"/>
          <w:szCs w:val="28"/>
          <w:shd w:fill="auto" w:val="clear"/>
          <w:lang w:val="ru-RU"/>
        </w:rPr>
        <w:t>3</w:t>
      </w:r>
      <w:r>
        <w:rPr>
          <w:b/>
          <w:bCs/>
          <w:sz w:val="40"/>
          <w:szCs w:val="28"/>
          <w:shd w:fill="auto" w:val="clear"/>
          <w:lang w:val="ru-RU"/>
        </w:rPr>
        <w:t xml:space="preserve"> триместр 2021-2022 учебного года</w:t>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lineRule="auto" w:line="360" w:beforeAutospacing="0" w:before="0" w:afterAutospacing="0" w:after="0"/>
        <w:rPr>
          <w:bCs/>
          <w:sz w:val="28"/>
          <w:szCs w:val="28"/>
          <w:lang w:val="ru-RU"/>
        </w:rPr>
      </w:pPr>
      <w:r>
        <w:rPr>
          <w:bCs/>
          <w:sz w:val="28"/>
          <w:szCs w:val="28"/>
          <w:lang w:val="ru-RU"/>
        </w:rPr>
      </w:r>
    </w:p>
    <w:p>
      <w:pPr>
        <w:pStyle w:val="NormalWeb"/>
        <w:shd w:val="clear" w:color="auto" w:fill="FFFFFF"/>
        <w:spacing w:lineRule="auto" w:line="360" w:beforeAutospacing="0" w:before="0" w:afterAutospacing="0" w:after="0"/>
        <w:rPr/>
      </w:pPr>
      <w:r>
        <w:rPr>
          <w:bCs/>
          <w:sz w:val="28"/>
          <w:szCs w:val="28"/>
          <w:shd w:fill="auto" w:val="clear"/>
          <w:lang w:val="ru-RU"/>
        </w:rPr>
        <w:t xml:space="preserve">Докторант: </w:t>
        <w:tab/>
        <w:tab/>
        <w:tab/>
        <w:tab/>
        <w:tab/>
      </w:r>
      <w:bookmarkStart w:id="0" w:name="_GoBack"/>
      <w:bookmarkEnd w:id="0"/>
      <w:r>
        <w:rPr>
          <w:bCs/>
          <w:sz w:val="28"/>
          <w:szCs w:val="28"/>
          <w:shd w:fill="auto" w:val="clear"/>
          <w:lang w:val="ru-RU"/>
        </w:rPr>
        <w:tab/>
        <w:t xml:space="preserve">                                     Амир Е. К.</w:t>
      </w:r>
    </w:p>
    <w:p>
      <w:pPr>
        <w:pStyle w:val="NormalWeb"/>
        <w:shd w:val="clear" w:color="auto" w:fill="FFFFFF"/>
        <w:spacing w:lineRule="auto" w:line="360" w:beforeAutospacing="0" w:before="0" w:afterAutospacing="0" w:after="0"/>
        <w:rPr/>
      </w:pPr>
      <w:r>
        <w:rPr>
          <w:bCs/>
          <w:sz w:val="28"/>
          <w:szCs w:val="28"/>
          <w:shd w:fill="auto" w:val="clear"/>
          <w:lang w:val="ru-RU"/>
        </w:rPr>
        <w:t xml:space="preserve">Научный руководитель: </w:t>
        <w:tab/>
        <w:tab/>
        <w:tab/>
        <w:tab/>
        <w:tab/>
        <w:t xml:space="preserve">        Сарсикеев Е. Ж.</w:t>
      </w:r>
    </w:p>
    <w:p>
      <w:pPr>
        <w:pStyle w:val="NormalWeb"/>
        <w:shd w:val="clear" w:color="auto" w:fill="FFFFFF"/>
        <w:spacing w:beforeAutospacing="0" w:before="0" w:afterAutospacing="0" w:after="0"/>
        <w:rPr>
          <w:bCs/>
          <w:sz w:val="28"/>
          <w:szCs w:val="28"/>
          <w:lang w:val="ru-RU"/>
        </w:rPr>
      </w:pPr>
      <w:r>
        <w:rPr>
          <w:bCs/>
          <w:sz w:val="28"/>
          <w:szCs w:val="28"/>
          <w:lang w:val="ru-RU"/>
        </w:rPr>
      </w:r>
    </w:p>
    <w:p>
      <w:pPr>
        <w:pStyle w:val="NormalWeb"/>
        <w:shd w:val="clear" w:color="auto" w:fill="FFFFFF"/>
        <w:spacing w:beforeAutospacing="0" w:before="0" w:afterAutospacing="0" w:after="0"/>
        <w:rPr>
          <w:b/>
          <w:b/>
          <w:bCs/>
          <w:sz w:val="28"/>
          <w:szCs w:val="28"/>
          <w:lang w:val="ru-RU"/>
        </w:rPr>
      </w:pPr>
      <w:r>
        <w:rPr>
          <w:b/>
          <w:bCs/>
          <w:sz w:val="28"/>
          <w:szCs w:val="28"/>
          <w:lang w:val="ru-RU"/>
        </w:rPr>
      </w:r>
    </w:p>
    <w:p>
      <w:pPr>
        <w:pStyle w:val="NormalWeb"/>
        <w:shd w:val="clear" w:color="auto" w:fill="FFFFFF"/>
        <w:spacing w:beforeAutospacing="0" w:before="0" w:afterAutospacing="0" w:after="0"/>
        <w:rPr>
          <w:b/>
          <w:b/>
          <w:bCs/>
          <w:sz w:val="28"/>
          <w:szCs w:val="28"/>
          <w:lang w:val="ru-RU"/>
        </w:rPr>
      </w:pPr>
      <w:r>
        <w:rPr>
          <w:b/>
          <w:bCs/>
          <w:sz w:val="28"/>
          <w:szCs w:val="28"/>
          <w:lang w:val="ru-RU"/>
        </w:rPr>
      </w:r>
    </w:p>
    <w:p>
      <w:pPr>
        <w:pStyle w:val="NormalWeb"/>
        <w:shd w:val="clear" w:color="auto" w:fill="FFFFFF"/>
        <w:spacing w:beforeAutospacing="0" w:before="0" w:afterAutospacing="0" w:after="0"/>
        <w:rPr>
          <w:b/>
          <w:b/>
          <w:bCs/>
          <w:sz w:val="28"/>
          <w:szCs w:val="28"/>
          <w:lang w:val="ru-RU"/>
        </w:rPr>
      </w:pPr>
      <w:r>
        <w:rPr>
          <w:b/>
          <w:bCs/>
          <w:sz w:val="28"/>
          <w:szCs w:val="28"/>
          <w:lang w:val="ru-RU"/>
        </w:rPr>
      </w:r>
    </w:p>
    <w:p>
      <w:pPr>
        <w:pStyle w:val="NormalWeb"/>
        <w:shd w:val="clear" w:color="auto" w:fill="FFFFFF"/>
        <w:spacing w:beforeAutospacing="0" w:before="0" w:afterAutospacing="0" w:after="0"/>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pPr>
      <w:r>
        <w:rPr>
          <w:b/>
          <w:bCs/>
          <w:sz w:val="28"/>
          <w:szCs w:val="28"/>
          <w:shd w:fill="auto" w:val="clear"/>
          <w:lang w:val="ru-RU"/>
        </w:rPr>
        <w:t>Нур-Султан 2022</w:t>
      </w:r>
    </w:p>
    <w:p>
      <w:pPr>
        <w:pStyle w:val="LOnormal"/>
        <w:jc w:val="center"/>
        <w:rPr/>
      </w:pPr>
      <w:r>
        <w:rPr>
          <w:rFonts w:eastAsia="Times New Roman" w:cs="Times New Roman" w:ascii="Times New Roman" w:hAnsi="Times New Roman"/>
          <w:b/>
          <w:sz w:val="28"/>
          <w:szCs w:val="28"/>
          <w:lang w:val="ru-RU"/>
        </w:rPr>
        <w:t>СОДЕРЖАНИЕ</w:t>
      </w:r>
    </w:p>
    <w:p>
      <w:pPr>
        <w:pStyle w:val="LOnormal"/>
        <w:jc w:val="center"/>
        <w:rPr>
          <w:rFonts w:ascii="Times New Roman" w:hAnsi="Times New Roman" w:eastAsia="Times New Roman" w:cs="Times New Roman"/>
          <w:b/>
          <w:b/>
          <w:i w:val="false"/>
          <w:i w:val="false"/>
          <w:iCs w:val="false"/>
          <w:sz w:val="28"/>
          <w:szCs w:val="28"/>
        </w:rPr>
      </w:pPr>
      <w:r>
        <w:rPr>
          <w:rFonts w:eastAsia="Times New Roman" w:cs="Times New Roman" w:ascii="Times New Roman" w:hAnsi="Times New Roman"/>
          <w:b/>
          <w:i w:val="false"/>
          <w:iCs w:val="false"/>
          <w:sz w:val="28"/>
          <w:szCs w:val="28"/>
        </w:rPr>
      </w:r>
    </w:p>
    <w:p>
      <w:pPr>
        <w:pStyle w:val="LOnormal"/>
        <w:jc w:val="left"/>
        <w:rPr/>
      </w:pPr>
      <w:r>
        <w:rPr>
          <w:rFonts w:eastAsia="Times New Roman" w:cs="Times New Roman" w:ascii="Times New Roman" w:hAnsi="Times New Roman"/>
          <w:b w:val="false"/>
          <w:bCs w:val="false"/>
          <w:i w:val="false"/>
          <w:iCs w:val="false"/>
          <w:sz w:val="28"/>
          <w:szCs w:val="28"/>
          <w:lang w:val="ru-RU"/>
        </w:rPr>
        <w:t>Введение………………………………………………………………………..3</w:t>
      </w:r>
    </w:p>
    <w:p>
      <w:pPr>
        <w:pStyle w:val="LOnormal"/>
        <w:rPr/>
      </w:pPr>
      <w:r>
        <w:rPr>
          <w:rFonts w:eastAsia="Times New Roman" w:cs="Times New Roman" w:ascii="Times New Roman" w:hAnsi="Times New Roman"/>
          <w:b w:val="false"/>
          <w:bCs w:val="false"/>
          <w:i w:val="false"/>
          <w:iCs w:val="false"/>
          <w:sz w:val="28"/>
          <w:szCs w:val="28"/>
          <w:lang w:val="ru-RU"/>
        </w:rPr>
        <w:t>1. Таблица резюме по патентам…………………………...………</w:t>
      </w:r>
      <w:r>
        <w:rPr>
          <w:rFonts w:eastAsia="Times New Roman" w:cs="Times New Roman" w:ascii="Times New Roman" w:hAnsi="Times New Roman"/>
          <w:b w:val="false"/>
          <w:bCs w:val="false"/>
          <w:i w:val="false"/>
          <w:iCs w:val="false"/>
          <w:sz w:val="28"/>
          <w:szCs w:val="28"/>
        </w:rPr>
        <w:t>……….….</w:t>
      </w:r>
      <w:r>
        <w:rPr>
          <w:rFonts w:eastAsia="Times New Roman" w:cs="Times New Roman" w:ascii="Times New Roman" w:hAnsi="Times New Roman"/>
          <w:b w:val="false"/>
          <w:bCs w:val="false"/>
          <w:i w:val="false"/>
          <w:iCs w:val="false"/>
          <w:sz w:val="28"/>
          <w:szCs w:val="28"/>
          <w:lang w:val="ru-RU"/>
        </w:rPr>
        <w:t>4</w:t>
      </w:r>
    </w:p>
    <w:p>
      <w:pPr>
        <w:pStyle w:val="LOnormal"/>
        <w:rPr/>
      </w:pPr>
      <w:r>
        <w:rPr>
          <w:rFonts w:eastAsia="Times New Roman" w:cs="Times New Roman" w:ascii="Times New Roman" w:hAnsi="Times New Roman"/>
          <w:b w:val="false"/>
          <w:bCs w:val="false"/>
          <w:i w:val="false"/>
          <w:iCs w:val="false"/>
          <w:sz w:val="28"/>
          <w:szCs w:val="28"/>
          <w:lang w:val="ru-RU"/>
        </w:rPr>
        <w:t>2. Таблица резюме по статьям……………………………………</w:t>
      </w:r>
      <w:r>
        <w:rPr>
          <w:rFonts w:eastAsia="Times New Roman" w:cs="Times New Roman" w:ascii="Times New Roman" w:hAnsi="Times New Roman"/>
          <w:b w:val="false"/>
          <w:bCs w:val="false"/>
          <w:i w:val="false"/>
          <w:iCs w:val="false"/>
          <w:sz w:val="28"/>
          <w:szCs w:val="28"/>
        </w:rPr>
        <w:t>………….</w:t>
      </w:r>
      <w:r>
        <w:rPr>
          <w:rFonts w:eastAsia="Times New Roman" w:cs="Times New Roman" w:ascii="Times New Roman" w:hAnsi="Times New Roman"/>
          <w:b w:val="false"/>
          <w:bCs w:val="false"/>
          <w:i w:val="false"/>
          <w:iCs w:val="false"/>
          <w:sz w:val="28"/>
          <w:szCs w:val="28"/>
          <w:lang w:val="ru-RU"/>
        </w:rPr>
        <w:t>1</w:t>
      </w:r>
      <w:r>
        <w:rPr>
          <w:rFonts w:eastAsia="Times New Roman" w:cs="Times New Roman" w:ascii="Times New Roman" w:hAnsi="Times New Roman"/>
          <w:b w:val="false"/>
          <w:bCs w:val="false"/>
          <w:i w:val="false"/>
          <w:iCs w:val="false"/>
          <w:sz w:val="28"/>
          <w:szCs w:val="28"/>
          <w:lang w:val="en-US"/>
        </w:rPr>
        <w:t>4</w:t>
      </w:r>
    </w:p>
    <w:p>
      <w:pPr>
        <w:pStyle w:val="LOnormal"/>
        <w:rPr/>
      </w:pPr>
      <w:r>
        <w:rPr>
          <w:rFonts w:eastAsia="Times New Roman" w:cs="Times New Roman" w:ascii="Times New Roman" w:hAnsi="Times New Roman"/>
          <w:b w:val="false"/>
          <w:bCs w:val="false"/>
          <w:i w:val="false"/>
          <w:iCs w:val="false"/>
          <w:sz w:val="28"/>
          <w:szCs w:val="28"/>
          <w:lang w:val="ru-RU"/>
        </w:rPr>
        <w:t>Выводы…………………………………………..……………………………</w:t>
      </w:r>
      <w:r>
        <w:rPr>
          <w:rFonts w:eastAsia="Times New Roman" w:cs="Times New Roman" w:ascii="Times New Roman" w:hAnsi="Times New Roman"/>
          <w:b w:val="false"/>
          <w:bCs w:val="false"/>
          <w:i w:val="false"/>
          <w:iCs w:val="false"/>
          <w:sz w:val="28"/>
          <w:szCs w:val="28"/>
          <w:lang w:val="en-US"/>
        </w:rPr>
        <w:t>31</w:t>
      </w:r>
    </w:p>
    <w:p>
      <w:pPr>
        <w:pStyle w:val="LOnormal"/>
        <w:rPr/>
      </w:pPr>
      <w:r>
        <w:rPr>
          <w:rFonts w:eastAsia="Times New Roman" w:cs="Times New Roman" w:ascii="Times New Roman" w:hAnsi="Times New Roman"/>
          <w:b w:val="false"/>
          <w:bCs w:val="false"/>
          <w:i w:val="false"/>
          <w:iCs w:val="false"/>
          <w:sz w:val="28"/>
          <w:szCs w:val="28"/>
          <w:lang w:val="ru-RU"/>
        </w:rPr>
        <w:t>Ссылки на источники…………………………...……………………………</w:t>
      </w:r>
      <w:r>
        <w:rPr>
          <w:rFonts w:eastAsia="Times New Roman" w:cs="Times New Roman" w:ascii="Times New Roman" w:hAnsi="Times New Roman"/>
          <w:b w:val="false"/>
          <w:bCs w:val="false"/>
          <w:i w:val="false"/>
          <w:iCs w:val="false"/>
          <w:sz w:val="28"/>
          <w:szCs w:val="28"/>
          <w:lang w:val="en-US"/>
        </w:rPr>
        <w:t>32</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pPr>
      <w:r>
        <w:rPr>
          <w:rFonts w:eastAsia="Times New Roman" w:cs="Times New Roman" w:ascii="Times New Roman" w:hAnsi="Times New Roman"/>
          <w:b/>
          <w:sz w:val="28"/>
          <w:szCs w:val="28"/>
          <w:lang w:val="ru-RU"/>
        </w:rPr>
        <w:t>Введение</w:t>
      </w:r>
    </w:p>
    <w:p>
      <w:pPr>
        <w:pStyle w:val="Normal"/>
        <w:ind w:firstLine="540"/>
        <w:jc w:val="both"/>
        <w:rPr>
          <w:lang w:val="kk-KZ"/>
        </w:rPr>
      </w:pPr>
      <w:r>
        <w:rPr>
          <w:lang w:val="kk-KZ"/>
        </w:rPr>
      </w:r>
    </w:p>
    <w:p>
      <w:pPr>
        <w:pStyle w:val="Normal"/>
        <w:ind w:firstLine="540"/>
        <w:jc w:val="both"/>
        <w:rPr/>
      </w:pPr>
      <w:r>
        <w:rPr>
          <w:rFonts w:ascii="Times New Roman" w:hAnsi="Times New Roman"/>
          <w:b w:val="false"/>
          <w:bCs w:val="false"/>
          <w:sz w:val="28"/>
          <w:szCs w:val="28"/>
        </w:rPr>
        <w:t>Неэффективное использование пастбищ в одни и те же сроки — важнейшая причина снижения урожайности и ухудшения ботанического состава травостоя. Чтобы не допустить ухудшения кормового достоинства и снижения урожаев травостоя естественных и сеяных пастбищ, необходимо применять систему использования пастбищ, т. е. вводить пастбищеоборот.</w:t>
      </w:r>
    </w:p>
    <w:p>
      <w:pPr>
        <w:pStyle w:val="Normal"/>
        <w:ind w:firstLine="540"/>
        <w:jc w:val="both"/>
        <w:rPr/>
      </w:pPr>
      <w:r>
        <w:rPr>
          <w:rFonts w:ascii="Times New Roman" w:hAnsi="Times New Roman"/>
          <w:b w:val="false"/>
          <w:bCs w:val="false"/>
          <w:sz w:val="28"/>
          <w:szCs w:val="28"/>
        </w:rPr>
        <w:t xml:space="preserve">РК занимает пятое место в мире по площади пастбищ, которые составляют 70 процентов территории республики. В Казахстане около 220 миллионов гектаров земель сельскохозяйственного назначения, в том числе 187 миллионов гектаров пастбищных угодий. По данным переписи 1913 года, в стране насчитывалось около 93 миллионов поголовья скота. Сегодня — более 30 миллионов. </w:t>
      </w:r>
    </w:p>
    <w:p>
      <w:pPr>
        <w:pStyle w:val="Normal"/>
        <w:ind w:firstLine="540"/>
        <w:jc w:val="both"/>
        <w:rPr/>
      </w:pPr>
      <w:r>
        <w:rPr>
          <w:rFonts w:eastAsia="Times New Roman" w:cs="Times New Roman" w:ascii="Times New Roman" w:hAnsi="Times New Roman"/>
          <w:b w:val="false"/>
          <w:bCs w:val="false"/>
          <w:sz w:val="28"/>
          <w:szCs w:val="28"/>
          <w:lang w:val="ru-RU"/>
        </w:rPr>
        <w:t>Именно поэтому в данной диссертационной работе предлагается разработка интеллектуального модуля управления электрической изгородью на базе нейро-нечетких систем с применением компьютерного зрения для контроля ресурсами пастбища и выгула крупнорогатого скота. Данная разработка позволит эффективно распоряжаться имеющими ресурсами и в долгосрочной перспективе сохранять уровень травостоя. Разработанная система позволит принимать решение по контролю пастбищеоборта в режиме реального времени для КРС и производить прогноз ресурсов на основе имеющихся баз данных.</w:t>
      </w:r>
    </w:p>
    <w:p>
      <w:pPr>
        <w:pStyle w:val="Normal"/>
        <w:ind w:firstLine="540"/>
        <w:jc w:val="both"/>
        <w:rPr>
          <w:rFonts w:eastAsia="Times New Roman" w:cs="Times New Roman"/>
        </w:rPr>
      </w:pPr>
      <w:r>
        <w:rPr>
          <w:rFonts w:eastAsia="Times New Roman" w:cs="Times New Roman"/>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sectPr>
          <w:type w:val="nextPage"/>
          <w:pgSz w:w="11906" w:h="16838"/>
          <w:pgMar w:left="1440" w:right="1440" w:header="0" w:top="1440" w:footer="0" w:bottom="1440" w:gutter="0"/>
          <w:pgNumType w:start="1" w:fmt="decimal"/>
          <w:formProt w:val="false"/>
          <w:textDirection w:val="lrTb"/>
          <w:docGrid w:type="default" w:linePitch="100" w:charSpace="4096"/>
        </w:sectPr>
        <w:pStyle w:val="LOnormal"/>
        <w:rPr>
          <w:b/>
          <w:b/>
        </w:rPr>
      </w:pPr>
      <w:r>
        <w:rPr>
          <w:rFonts w:eastAsia="Times New Roman" w:cs="Times New Roman" w:ascii="Times New Roman" w:hAnsi="Times New Roman"/>
          <w:sz w:val="28"/>
          <w:szCs w:val="28"/>
        </w:rPr>
      </w:r>
    </w:p>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Таблица 1. - Таблица резюме рассмотренных патентов</w:t>
      </w:r>
    </w:p>
    <w:tbl>
      <w:tblPr>
        <w:tblStyle w:val="Table1"/>
        <w:tblW w:w="13935" w:type="dxa"/>
        <w:jc w:val="left"/>
        <w:tblInd w:w="0" w:type="dxa"/>
        <w:tblCellMar>
          <w:top w:w="100" w:type="dxa"/>
          <w:left w:w="100" w:type="dxa"/>
          <w:bottom w:w="100" w:type="dxa"/>
          <w:right w:w="100" w:type="dxa"/>
        </w:tblCellMar>
        <w:tblLook w:val="0600"/>
      </w:tblPr>
      <w:tblGrid>
        <w:gridCol w:w="539"/>
        <w:gridCol w:w="1739"/>
        <w:gridCol w:w="1229"/>
        <w:gridCol w:w="3480"/>
        <w:gridCol w:w="3613"/>
        <w:gridCol w:w="3334"/>
      </w:tblGrid>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Название патента</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Номер патента</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Технический результат</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Решаемая проблема</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Предложенное решение</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Интегрированная система и метод управления животными</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US 2007/0288249A1</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Снижение трудоёмкости процесса и улучшение эффективности оценки здоровья животных</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Трудности при осуществлении медицинской диагностики при больщой численности животных </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мониторинга стада по нескольким парметрам состояния здоровья для последующего предложения рекомендации по уходу.</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и способ направления скота в загонах</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WO 2020/129056</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Снижение материалоёмкости автоматических ворот, а также снижение создоваемого ими шума</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Сложность в оценке количества и качества потребляемых животными кормов и неэффективное перенаправление стада в загонах</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контроля выпаса скота посредством автоматических ворот</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Способ и устройство порционной пастьбы животных</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 0002730866, 26.08.2020</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Рациональное эксплуатирование пастбищ, снижение материалоемкости, уменьшение затрат ручного труда на обслуживание животных</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возможности регулирования расположения животных в загоне в шеренгу, возникновение стрессов животного, снижение продуктивности, высокая материалоемкость, большие затраты ручного труда</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Возможность организовать пастьбу животных порционно шеренгой путем включения и выключения инфракрасных или ультразвуковых лучей, образующие виртуальные изгороди с исключением стрессовых ситуаций для животного</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4</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Устройство для пастьбы животных</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 0002515392</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Повышение эффективности работы устройства, снижение его материалоемкости и затрат труда на обслуживание</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Повышенная материалоемкость, большие затраты труда</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Устройство с поворотным механизмом для перемещения фронтального провода изгороди позволяющее выводить животных из загона</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5</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Блок ограждения загона для содержания</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 2711806</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Легкость, высокая упругость, быстрота установки блоков при относительно невысокой стоимости</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Сложность и трудоемкость изготовления конструкций, их сборка в блоки, разборка и транспортирование на новое место, и достаточно большой вес блоков</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Создание конструкции надувного блока, ограждение загона которого можно организовать с использованием минимального количества блоков.</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6</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Блок ограждения загона для содержания</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RU2704851</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Исключение контактного взаимодействия животных с поверхностью блока, обращенной к животным посредством более рациональной формы поперечного сечения блока</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Большой вес, сложность изготовления и сложность установки блоков на местности</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Создание конструкции надувного блока как элемента травмобезопасного  ограждения загона для животных, с наименьшей возможностью повреждения поверхности пневмоблока животными.</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7</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Быстроразвертываемая мобильная линейная часть электризуемого заграждения</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 2714735</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Сокращение трудоемкости по монтажу, сокращение габаритов, возможность установки на непротяженные участки местности, и при перепадах температуры воздуха</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Значительное время и трудоемкость по установке и снятию, невозможность установки на непротяженные участки местности в виду высоких габаритов</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Быстроразвертываемая мобильная часть электрической изгороди загона с возможностью регулировки высоты проволоки</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8</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Охотничий вольер и способ содержания диких животных с естественными кормами</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RU2645343</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Организация рационального использования лесных угодий, пастбищ, упрощение эксплуатации охотничьих вольеров за счет упрощенного группового, видового перемещения животных в загонах</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Необходимость производства земляных работ по установке несущих стоек, отсутствие элементов защиты животных от непогоды, возможность травмирования животных на стыках элементов ограждения</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Охотничий вольер выполненый в виде сегментов и/или секторов, имеющих в оконцовках граничащих зон зауженные участки, содержащие впускные-выпускные ворота, </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9</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способ и устройство для кормления для удаленного наблюдения за домашним животным и кормления</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 2675511</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Осуществление более качественного удаленного наблюдения и  взаимодействия между домашними животными и владельцем</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Сложность при осуществлений прогноза рациона кормления животных во время отсутствия хозяина рядом</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электронных весов и датчиков для осуществления кормления животных с использованием технологии IoT и баз данных для анализа результатов и процесса кормления.</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10</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Способ механизированного пастбищного содержания крупного рогатого скота</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 2614813</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Обеспечение энергоматериалосберегающего экологически чистого способа  содержания животных</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благоприятных условии содержания животных, облагораживание пастбищных загонов, экологичных систем при дойке, хранении и транспортировке молока</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Создание способа комплексного свойства, одновременно соответствующего по своему назначению условиям энергоматериалосберегающего экологически чистого высокопродуктивного пастбищного содержания</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11</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Способ ограничения выхода крупного рогатого скота и лошадей за пределы отведенного им участка</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 2379883</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Отпадание необходимости выработки у животных условных рефлексов. Исключаются стрессовые ситуации, низкая материалоемкость и стоимость</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Требование большого адаптационного периода, повреждение проволок, возникновение стресса, снижение продуктивности, высокая материалоемкость и большие трудозатраты на ее монтаж и демонтаж при смене пастбища.</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Осуществление воздействиея на крупный рогатый скот и лошадей звуками жужжания овода, синтезированный с высокой точностью звукогенераторами, установленными по периметру участка</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12</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Способ и устройство автоматизации и информатизации экономичной пастьбы животных на пастбищах с электрическими изгородями</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0002490875</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Достижение экономически оптимального, биологически и энергетически рационального режима пастьбы и кормления животных на пастбище, поиск положения экономического баланса между суммой стоимостей затрат на пастьбу животных и расчетной ценой реализованной продукции живот новодства</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учета в реальном времени качественного и количественного состава растительного корма на пастбище, и рационального контроля маршрута стада для достижения наивысшей технико-экономической эффективности процесса пастьбы</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Устройство автоматизации и информатизации экономичной пастьбы животных на пастбищах с электрическими изгородями</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13</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Cпособ и устройство автоматизации и информатизации экономичной пастьбы животных на пастбищах с электрическими изгородями</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2011143938</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Экономически целостное представление о стоимости технических мер по перегони стада на пастбище. </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системы контроля за экономически эффективным перегоном животных на пастбище</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Устройство для экономического расчета маршрута стада в рамках пастбища с учетом расстоянии стада от доильного центра и ограждении загонов </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14</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Портативная электрическая система ограждения</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US2020045931A1</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Менее материалоемкая конструкция изгородей, требующяя меньшей трудоемкости</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Материалоемкость и трудоемкость процесса установки и обслуживания обычных изгородей</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Предоставление  портативного ограждения для содержания крупного или другого домашнего скота</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15</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Самоходная система для содержания стада и выпаса скота</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RS20201177A1</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Позволяет стадо пастись на разных участках местности, без участия людей, т.е. пастухов, и без сторожевых собак</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возможности в существующих системах менять границы загонов, а также контролировать выпас животных</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Построение независимой, гибкой, самоходной системы робо-платформ в виде электрической изгороди, которая защищает стадо.</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16</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US2021267161A1</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сбалансированное поедание травастоя животными</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Неравномерное поедание животными травостоя из за неравномерности выпаса животных в рамках одного загона</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Устройство для перемещения вдоль первого демаркационного элемента на пастбище.</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17</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Пастбищная электроизгородь</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RU187419U1</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Повышение эффективности использования устройства, что сказывается на снижении затрат на содержание животных в пастбищный период в загонах с электроизгородью и расширение технического потенциала</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Большие затраты труда на перестановку электроизгороди, в том числе стоек и электропровода, низкая мобильность и автономность, что отражается на затратах содержания животных в пастбищных электроизгородях</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Стационарные ограждения и столбы заменены переносными столбами и электрическими линиями и для автономной и бесперебойной работы мобильной электрической изгороди установлен дополнительный источник электроэнергии в качестве, которого использована солнечная батарея</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18</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Роботизированная ротационная пастбищная система</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US2020128785A1</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Позволяет стадо пастись на разных участках местности, без участия людей, т.е. пастухов, и без сторожевых собак</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возможности в существующих системах менять границы загонов, а также контролировать выпас животных</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Построение независимой, гибкой, самоходной системы робо-платформ в виде электрической изгороди, которая защищает стадо.</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19</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Метод и система для ограждения животных без использования физического ограждения</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US2013008391A1</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Более устойчивый и свободный от стрессов период обучения животных  </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Трудности в определении четких границ пастбища а также сложности в выведении устойчивых рефлексов по мере обучения животных.</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ошейников позволяющяя совершать корректирующие воздействие на животные посредством линейного увеличение звуковых сигналов по мере приближения к краю пастбища.</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20</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Метод и система управления стадом</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US10098324B2</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естественная среда поддерживаемая системой ошейников для выпаса скота. Низкий уровень стресса и более устойчивый травостой</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Трудоемкость поддержки систем с виртульной изгородью и низкая энергоэффективность данных устройств. Нарушение естественных процессов выпаса скота посредством использования данных систем. </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контроля выпаса скота посредством комплекса ошейников, которая обеспечивает поддержание стада в рамках одной или нескольких групп, что является более естественной для животного мира.</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21</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Метод выпаса скота с использованием виртуального ограждения и аппараты, выполняющие эту функцию</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KR20190048161A</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Многоуровневая и щадящая система оповещения возможности выхода животного из загона</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Возникновение стрессов у животных из за долгого воздействия электрических изгородей</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Система контроля выпаса рассчитывающая разные возможности выхода животного из загона в рамках трех уровней оповещения </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22</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управления и метод управления животным на основе виртуального ограждения</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KR102159319B1</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Менее материалоемкая конструкция изгородей, требующяя меньшей трудоемкости с использованиес дрона</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Материалоемкость и трудоемкость процесса установки и обслуживания обычных изгородей. Осуществление возвращения вышедшего за пределы загона животного с помощью дрона </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контроля выпаса скота с использованием комплексом ошейников и дрона под управлением оператора</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23</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Интеллектуальная система управления пастбищами</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CN111567441A</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эффективная система управления ресурсом пастбища и выпаса скота</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Материалоемкость и трудоемкость процесса установки и обслуживания обычных изгородей.</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контроля выпаса скота с помощью устройств ошейников на базе IoT</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24</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мониторинга потребления пастбищ</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CN109640640A</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точное управление поголовьем скота</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Оптимизация системы управления пастбищами</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Исходные данные для моделей прогнозирования и моделирования</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Невозможность качественной и количественной оценки поглощенной корма животными на пастбище</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и метод для мониторинга и измерения потребления корма, которые являются более точными и простыми, чем существующие методы.</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25</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управления пастбищными животными</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WO2021033732A1</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Возможность определения животного отбитого от основного стада и последующее его возвращения</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Сложность определения отбившегося животного при использовании обычных решении виртульного контроля</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обнаружения отбившегося животного от основного стада на основе данных о поведении животных с базы данных и мониторинг результативности данных решении</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26</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и метод управления животноводством</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US2021059213A1</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эффективная система управления ресурсом пастбища и выпаса скота</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Материалоемкость и трудоемкость процесса установки и обслуживания обычных изгородей.</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контроля выпаса скота с помощью устройств меток на базе IoT</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27</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Метод и система интеллектуального управления пастбищами на основе больших данных</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CN113869848A</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Менее энергоемкая система управления ресурсом пастбища и выпаса скота</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Высокая материалоемкость и трудоемкость процесса установки и обслуживания обычных изгородей.</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контроля выпаса скота с помощью устройств ошейников на базе IoT и облачных вычислении</w:t>
            </w:r>
          </w:p>
        </w:tc>
      </w:tr>
    </w:tbl>
    <w:p>
      <w:pPr>
        <w:sectPr>
          <w:type w:val="nextPage"/>
          <w:pgSz w:orient="landscape" w:w="16838" w:h="11906"/>
          <w:pgMar w:left="1440" w:right="1440" w:header="0" w:top="1440" w:footer="0" w:bottom="1440" w:gutter="0"/>
          <w:pgNumType w:fmt="decimal"/>
          <w:formProt w:val="false"/>
          <w:textDirection w:val="lrTb"/>
          <w:docGrid w:type="default" w:linePitch="100" w:charSpace="4096"/>
        </w:sectPr>
      </w:pPr>
    </w:p>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Таблица 2. - Таблица резюме рассмотренных статей</w:t>
      </w:r>
    </w:p>
    <w:tbl>
      <w:tblPr>
        <w:tblStyle w:val="Table2"/>
        <w:tblW w:w="13954" w:type="dxa"/>
        <w:jc w:val="left"/>
        <w:tblInd w:w="0" w:type="dxa"/>
        <w:tblCellMar>
          <w:top w:w="100" w:type="dxa"/>
          <w:left w:w="100" w:type="dxa"/>
          <w:bottom w:w="100" w:type="dxa"/>
          <w:right w:w="100" w:type="dxa"/>
        </w:tblCellMar>
        <w:tblLook w:val="0600"/>
      </w:tblPr>
      <w:tblGrid>
        <w:gridCol w:w="524"/>
        <w:gridCol w:w="2474"/>
        <w:gridCol w:w="3651"/>
        <w:gridCol w:w="3650"/>
        <w:gridCol w:w="3655"/>
      </w:tblGrid>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Название статьи</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Рассматриваемый вопрос</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Результаты исследования</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Использованные методы</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Технология виртуального ограждения для интенсивного выпаса лактирующего молочного скота. II: Влияние на благосостояние и поведение коров</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Вред и польза использования эектрических и виртуальных изгородей для контроля выпаса скота. Эфекктивность использования данных технологии.</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Нет доказательств влияния виртуального ограждения на поведение и благополучие дойных коров в первые дни после внедрения технологии, но для полного выяснения последствий после этого периода требуется более длительное исследование.</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Химические анализы проб на содержание кортизола в составе молока, оценка выдоя, мониторинг активности, продолжительность жвачки, и выпаса скота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Работает ли виртуальное ограждение для выпаса молочного скота?</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Вред и польза использования эектрических и виртуальных изгородей для контроля выпаса скота. Эфекктивность использования данных технологии.</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Данное исследование продемонстрировало, что экспериментальный прототип автоматизированного виртуального ошейника с высокой эффективностью сдерживает молочных коров в пределах пастбищного участка. Животные могли все чаще реагировать только на звуковой сигнал. Однако эта реакция сильно различалась у разных особей, что может повлиять на эффективность использования пастбища. Успех технологии VF должен основываться не только на том, что животные остаются в пределах зоны включения.</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Статистическо-математические данные о полученных импульсах электро или виртуальной изгороди и подчет времени нахождения животных в рамках или вне рамках загона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Технология виртуального ограждения для интенсивного выпаса лактирующего молочного скота. I: Эффективность технологии и использование пастбищ</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Вред и польза использования эектрических и виртуальных изгородей для контроля выпаса скота. Эфекктивность использования данных технологии.</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целом, данное исследование продемонстрировало успешное простое применение этой виртуальной системы ограждения для удержания стада пасущихся лактирующих молочных коров в границах их ежедневного распределения пастбищ.</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Статистическо-математические данные о полученных импульсах электро или виртуальной изгороди и подчет времени нахождения животных в рамках или вне рамках загона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4</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Виртуальное ограждение без визуальных подсказок: Дизайн, трудности реализации и связанное с этим поведение молочных коров</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Вред и польза использования эектрических и виртуальных изгородей для контроля выпаса скота. Эфекктивность использования данных технологии.</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 целом, эксплуатационные возможности ошейника и коммуникационной сети были признаны надежными. Однако, несмотря на то, что дойные коровы быстро ассоциировали визуальные сигналы с пограничными линиями VF и быстро развили ассоциацию между звуковым предупреждением и корректирующим стимулом, после удаления всех визуальных сигналов количество нарушений границ увеличилось. Кроме того, наблюдалось сокращение времени пастьбы и жвачки в период обучения, что свидетельствовало о том, что коровы испытывали стресс в обозначенной зоне включения. </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Статистическо-математические данные о полученных импульсах электро или виртуальной изгороди и подчет времени нахождения животных в рамках или вне рамках загона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5</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Виртуальное ограждение сравнимо с электрическим ленточным ограждением по поведению и благополучию крупного рогатого скота</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Вред и польза использования эектрических и виртуальных изгородей для контроля выпаса скота. Эфекктивность использования данных технологии.</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Эти результаты показывают, что технология виртуального ограждения эффективно удерживает животных на установленной территории в течение 4 недель без существенного влияния на поведение и благополучие скота.</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Вес тела и образцы кала у каждого животного брались еженедельно. Образцы фекалий обрабатывались для определения концентрации метаболитов кортизола в кале (FCM). Прикрепленные к ноге датчики IceQube R® измеряли индивидуальное время лежания и стояния, а виртуальные оградительные повязки на шее регистрировали местоположение GPS и все применяемые звуковые и электрические стимулы.</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6</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Сравнение виртуального ограждения и электрического ограждения овец для управления пастбищами</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Вред и польза использования эектрических и виртуальных изгородей для контроля выпаса скота. Эфекктивность использования данных технологии.</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Сходство в потреблении пастбищ между группами показало, что виртуальное ограждение не влияет на нормальное пастбищное поведение овец и не препятствует им пастись до линии ограждения. Дальнейшую работу следует проводить в более крупных отарах и с использованием автоматизированных систем.</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Овцы имели доступ к небольшому участку пастбища (8 × 8 м) в течение примерно 4 часов, в общей сложности 4 дня паслись, каждый день переходя на новый участок. На пастбищном участке измеряли среднее сухое вещество пастбища, нормализованный индекс различий растительности (NDVI) и высоту поднимающейся пластины (RPM) до и после выпаса. NDVI и высота RPM также измерялись вдоль линии забора до и после выпаса.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7</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Применение данных дистанционного зондирования</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для мониторинга использования земель</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сельскохозяйственного назначения</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Актуальность применения технологии дистанционного зондирования</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для мониторинга использования земель</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сельскохозяйственного назначения</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Существует необходимость в объективных методах контроля за</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Землепользованием. Учитыая имеющийся недостаток объективной,</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оперативной и достоверной информации об использовании пахотных земель, можно</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утверждать, что развитие методов спутникового мониторинга пахотных земель России</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стоит в ряду приоритетных научных задач.</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Сравнительный анализ существующих технологии оценки земель</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сельскохозяйственного назначения с помощью дистанционного зондирования</w:t>
            </w:r>
          </w:p>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8</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Эффективность использования сельскохозяйственных земель в казахстане</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Изучение современного состояния использования земельных</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ресурсов в сельском хозяйстве Казахстана и разработать рациональные пути их</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использования.</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Анализ структуры сельхозугодий показал,</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что высокая распаханность территории характерна для северного региона, так как здесь</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высокая обеспеченность пашней, являющейся основой развития отраслей сельского</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хозяйства (зерновые регионы) и основным источником доходов сельских жителей</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Монографический (анализ структуры</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распределения сельскохозяйственных угодий по категориям земель, посевных площадей),</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абстрактно логический подход – при обобщении результатов исследования и</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формулировании выводов и предложений, эмпирический – при оценке современного</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состояния использования земель. Проведен экономический анализ — взаимосвязанные и взаимообусловленные методы</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изучения и научного исследования определенных экономических явлений, процессов,</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действий, результатов.</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9</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Цифровые технологии в организации</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пастбищного животноводства</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Составление основных проблемных вопросов землепользования и предложение их эффективного решения</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было предложено решить проблемы</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использования культурных пастбищ с использованием современных информационных и цифровых технологий. Основные задачи, требующие</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решения:</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техническая реализация ограничения</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стравливаемого животным участка культурного</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пастбища;</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расчёт площади и определение геодезических</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точек участка стравливания;</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дистанционный контроль за животными;</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синхронизация баз данных «умной» фермы,</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разработка комплекса программного обеспечения.</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Мониторинг и идентификация отдельных</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особей с применением современных информационных технологий (активность, температура тела,</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привес, удой, рацион кормления), удовлетворение</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их индивидуальных потребностей;</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контроль и автоматическое регулирование</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микроклимата в животноводческом помещении</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(своевременное удаление вредных газов);</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мониторинг состояния здоровья стада;</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мониторинг качества получаемой продукции</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(возможен учёт по каждому животному);</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электронная база данных производственного</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процесса;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10</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Технология виртуального ограждения для интенсивного выпаса лактирующего молочного скота. I: Эффективность технологии и использование пастбищ</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 этом эксперименте сравнивалась способность обычных временных электрических и виртуальных ограждений удерживать стадо из 30 лактирующих молочных коров в границах их ежедневного распределения пастбищ (зона включения). </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Исследование показало, что одиночные линейные виртуальные линии ограждения успешно используются для разделения прямоугольных загонов поперек и ограничения стада из 30 лактирующих молочных коров частью, содержащей их ежедневное (24 часа) пастбищное распределение (зона инклюзии).</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Применение статистического анализа на полученных видео и аудио материалах, подчет времени пребывания на пастбище и продолжительности жвачки</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11</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Мониторинг использования пастбищ: Стратегии использования технологий и адаптации к изменчивости</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Выведение основных факторов влияния на ресурс пастбища, а также предложения рекомендации (методов) по решению основных проблемных зон</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Представлены несколько подходов к использованию геопространственных данных и технологий для борьбы с этой изменчивостью, включая погодные и климатические данные, данные спутникового дистанционного зондирования и соответствующие инструменты, а также GPS-ошейники для скота.</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Внешний вид ландшафта.  (Внешняя оценка), применение математических инструментов для анализа результатов</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12</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Спутниковое дистанционное зондирование лугов: от наблюдения к управлению</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Проведение сравнительного анализа существующих технологии и методов по осуществлению дистанционного зондирования земли</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Приведены основные технологии и выведены из основные недостатки и преимущества друг перед другом</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Сравнительный анализ существующих технологии и методов по осуществлению дистанционного зондирования земли</w:t>
            </w:r>
          </w:p>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13</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Современное приложение для виртуального ограждения: Мониторинг и контроль поведения коз с помощью GPS-ошейников и предупреждающих сигналов</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Рассмотрение эффективности применеия технологии контроля выпса скота с применением виртуальных изгородей.</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Показано, что вероятность того, что коза получит электрический стимул после звуковой подсказки (звуки собаки и аварийной ситуации), была низкой (20%) и снижалась в течение периода тестирования. Кроме того, модель классификации SVM на основе ядра RBF классифицировала лежачее поведение с чрезвычайно высокой точностью (F-score 1), в то время как пастьба, бег, ходьба и стоячее поведение также были классифицированы с высокой точностью (F-score 0,95, 0,97, 0,81 и 0,8, соответственно).</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Статистическо-математические данные о полученных импульсах электро или виртуальной изгороди и подчет времени нахождения животных в рамках или вне рамках загона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14</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Управление перемещением овец в пределах поля с помощью виртуального ограждения</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Рассмотрение эффективности применеия технологии контроля выпса скота с применением виртуальных изгородей.</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Виртуальная изгородь была эффективна для предотвращения проникновения небольшой группы овец в зону отчуждения. Вероятность того, что овца получит электрический стимул после звукового сигнала, была низкой (19%) и снижалась в течение периода тестирования. Потребовалось в среднем восемь взаимодействий с ограждением, чтобы возникла ассоциация между звуковым и стимульным сигналом, при этом на третий день все животные реагировали только на звуковой сигнал. После удаления виртуального забора овцы охотно пересекали прежнее местоположение виртуального забора через 30 минут пребывания в загоне. </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Статистическо-математические данные о полученных импульсах электро или виртуальной изгороди и подчет времени нахождения животных в рамках или вне рамках загона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15</w:t>
            </w:r>
          </w:p>
        </w:tc>
        <w:tc>
          <w:tcPr>
            <w:tcW w:w="24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Применение технологии виртуального ограждения эффективно в стадах крупного рогатого скота и овец</w:t>
            </w:r>
          </w:p>
        </w:tc>
        <w:tc>
          <w:tcPr>
            <w:tcW w:w="365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Рассмотрение эффективности применеия технологии контроля выпса скота с применением виртуальных изгородей.</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Наиболее удачной конструкцией для пастьбы скота было заднее ограждение, которое следовало за животными и не позволяло им повернуть назад в неправильном направлении. Ограждения активировались вручную персоналом в зависимости от движения скота. Во втором эксперименте такой же тип ограждения был вручную применен к двум группам из шести овец, чтобы успешно перегнать их по 140-метровому загону.</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Статистическо-математические данные о полученных импульсах электро или виртуальной изгороди и подчет времени нахождения животных в рамках или вне рамках загона</w:t>
            </w:r>
          </w:p>
        </w:tc>
      </w:tr>
    </w:tbl>
    <w:p>
      <w:pPr>
        <w:sectPr>
          <w:type w:val="nextPage"/>
          <w:pgSz w:orient="landscape" w:w="16838" w:h="11906"/>
          <w:pgMar w:left="1440" w:right="1440" w:header="0" w:top="1440" w:footer="0" w:bottom="1440" w:gutter="0"/>
          <w:pgNumType w:fmt="decimal"/>
          <w:formProt w:val="false"/>
          <w:textDirection w:val="lrTb"/>
          <w:docGrid w:type="default" w:linePitch="100" w:charSpace="4096"/>
        </w:sectPr>
      </w:pPr>
    </w:p>
    <w:p>
      <w:pPr>
        <w:pStyle w:val="Normal1"/>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1.4 Выводы по главе</w:t>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Из вышеприведенного анализа зарубежных и отечественных статей и патентов можно сделать вывод о следующих тенденциях развития в данной области:  </w:t>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ab/>
        <w:t xml:space="preserve">Использование технических средств ограждения территории пастбища различными типами, такие как: электрическая изгородь, пневматический блок и звуковая мачта. Как правило, применяется электрическая изгородь, находящаяся под напряжением и/или система предварительных (предупреждающих) звуковых сигналов. При касании проводаживотное бьет токомвысокой частоты, значение которого не опасно для его жизни и здоровья, но вызывает неприятные ощущения и заставляет отстраниться от электроизгороди. Со временем у животных вырабатывается условный рефлекс, в результате чего животные не подходят близко к яркоокрашенным проводам. Также стоит отметить такие нововведения как электроошейники, заменяющие функции электроизгороди посредством влияния на животных на основе их геолокационных данных. </w:t>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ab/>
        <w:t>Разработка систем и методов стравливания пастбища, реализация непрерывных зеленых конвейеров, осуществление перехода животных. Наиболее распространенная схема пастбищеоборота – это секционирование и поэтапное стравливание.</w:t>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ab/>
        <w:t>Совершенствование элементов и устройств электрической изгороди с целью повышения энергетической эффективности, снижения материалоемкости, повышения прочности материалов и изделий.</w:t>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ab/>
        <w:t>Наблюдается тенденция применения, так называемых, виртуальных изгородей для контроля пастбища, которая с точки зрения влияния на животное практический не отличается от традиционных форм контроля выпаса скота, но при этом отличается более гибкими параметрама настройки границ пастбища. Единственным недостатком можно назвать невозможность защитить скот от нападения диких животных.</w:t>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ab/>
        <w:t>Также немаловажным является применеие серверных или облачных технологии для мониторинга за скотом в купе с разработкой соответствующего ПО для взаимодействия пользователя с интерфейсом системы.</w:t>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lang w:val="ru-RU"/>
        </w:rPr>
      </w:pPr>
      <w:r>
        <w:rPr>
          <w:rFonts w:eastAsia="Times New Roman" w:cs="Times New Roman" w:ascii="Times New Roman" w:hAnsi="Times New Roman"/>
          <w:b/>
          <w:sz w:val="28"/>
          <w:szCs w:val="28"/>
          <w:lang w:val="ru-RU"/>
        </w:rPr>
        <w:t>Ссылки на источники</w:t>
      </w:r>
    </w:p>
    <w:p>
      <w:pPr>
        <w:pStyle w:val="Normal1"/>
        <w:jc w:val="both"/>
        <w:rPr>
          <w:rFonts w:ascii="Times New Roman" w:hAnsi="Times New Roman" w:eastAsia="Times New Roman" w:cs="Times New Roman"/>
          <w:b/>
          <w:b/>
          <w:i/>
          <w:i/>
          <w:sz w:val="28"/>
          <w:szCs w:val="28"/>
        </w:rPr>
      </w:pPr>
      <w:r>
        <w:rPr/>
      </w:r>
    </w:p>
    <w:p>
      <w:pPr>
        <w:pStyle w:val="Normal1"/>
        <w:widowControl/>
        <w:numPr>
          <w:ilvl w:val="0"/>
          <w:numId w:val="1"/>
        </w:numPr>
        <w:bidi w:val="0"/>
        <w:spacing w:lineRule="auto" w:line="276"/>
        <w:ind w:left="449" w:right="0" w:hanging="360"/>
        <w:jc w:val="both"/>
        <w:rPr/>
      </w:pPr>
      <w:hyperlink r:id="rId2">
        <w:r>
          <w:rPr>
            <w:rStyle w:val="ListLabel82"/>
            <w:rFonts w:eastAsia="Times New Roman" w:cs="Times New Roman" w:ascii="Times New Roman" w:hAnsi="Times New Roman"/>
            <w:color w:val="1155CC"/>
            <w:sz w:val="28"/>
            <w:szCs w:val="28"/>
            <w:u w:val="single"/>
          </w:rPr>
          <w:t>https://patentimages.storage.googleapis.com/0f/1c/e5/a6f29caee180f6/US20070288249A1.pdf</w:t>
        </w:r>
      </w:hyperlink>
      <w:r>
        <w:rPr>
          <w:rFonts w:eastAsia="Times New Roman" w:cs="Times New Roman" w:ascii="Times New Roman" w:hAnsi="Times New Roman"/>
          <w:sz w:val="28"/>
          <w:szCs w:val="28"/>
        </w:rPr>
        <w:t xml:space="preserve"> (Патент США №US 2007/0288249A1, 13.01.2007.)</w:t>
      </w:r>
    </w:p>
    <w:p>
      <w:pPr>
        <w:pStyle w:val="Normal1"/>
        <w:widowControl/>
        <w:numPr>
          <w:ilvl w:val="0"/>
          <w:numId w:val="1"/>
        </w:numPr>
        <w:bidi w:val="0"/>
        <w:spacing w:lineRule="auto" w:line="276"/>
        <w:ind w:left="449" w:right="0" w:hanging="360"/>
        <w:jc w:val="both"/>
        <w:rPr/>
      </w:pPr>
      <w:hyperlink r:id="rId3">
        <w:r>
          <w:rPr>
            <w:rStyle w:val="ListLabel82"/>
            <w:rFonts w:eastAsia="Times New Roman" w:cs="Times New Roman" w:ascii="Times New Roman" w:hAnsi="Times New Roman"/>
            <w:color w:val="1155CC"/>
            <w:sz w:val="28"/>
            <w:szCs w:val="28"/>
            <w:u w:val="single"/>
          </w:rPr>
          <w:t>https://patentscope.wipo.int/search/en/detail.jsf?docId=WO2020129056</w:t>
        </w:r>
      </w:hyperlink>
      <w:r>
        <w:rPr>
          <w:rFonts w:eastAsia="Times New Roman" w:cs="Times New Roman" w:ascii="Times New Roman" w:hAnsi="Times New Roman"/>
          <w:sz w:val="28"/>
          <w:szCs w:val="28"/>
        </w:rPr>
        <w:t xml:space="preserve"> (Патент США №WO 2020/129056, 25.06.2020.)</w:t>
      </w:r>
    </w:p>
    <w:p>
      <w:pPr>
        <w:pStyle w:val="Normal1"/>
        <w:widowControl/>
        <w:numPr>
          <w:ilvl w:val="0"/>
          <w:numId w:val="1"/>
        </w:numPr>
        <w:bidi w:val="0"/>
        <w:spacing w:lineRule="auto" w:line="276"/>
        <w:ind w:left="449" w:right="0" w:hanging="360"/>
        <w:jc w:val="both"/>
        <w:rPr/>
      </w:pPr>
      <w:hyperlink r:id="rId4">
        <w:r>
          <w:rPr>
            <w:rStyle w:val="ListLabel82"/>
            <w:rFonts w:eastAsia="Times New Roman" w:cs="Times New Roman" w:ascii="Times New Roman" w:hAnsi="Times New Roman"/>
            <w:color w:val="1155CC"/>
            <w:sz w:val="28"/>
            <w:szCs w:val="28"/>
            <w:u w:val="single"/>
          </w:rPr>
          <w:t>https://patentscope.wipo.int/search/ru/detail.jsf?docId=RU305244190&amp;_cid=P12-L2AAV7-37292-1</w:t>
        </w:r>
      </w:hyperlink>
      <w:r>
        <w:rPr>
          <w:rFonts w:eastAsia="Times New Roman" w:cs="Times New Roman" w:ascii="Times New Roman" w:hAnsi="Times New Roman"/>
          <w:sz w:val="28"/>
          <w:szCs w:val="28"/>
        </w:rPr>
        <w:t xml:space="preserve"> (Патент РФ № 0002730866, 26.08.2020.)</w:t>
      </w:r>
    </w:p>
    <w:p>
      <w:pPr>
        <w:pStyle w:val="Normal1"/>
        <w:widowControl/>
        <w:numPr>
          <w:ilvl w:val="0"/>
          <w:numId w:val="1"/>
        </w:numPr>
        <w:bidi w:val="0"/>
        <w:spacing w:lineRule="auto" w:line="276"/>
        <w:ind w:left="449" w:right="0" w:hanging="360"/>
        <w:jc w:val="both"/>
        <w:rPr/>
      </w:pPr>
      <w:hyperlink r:id="rId5">
        <w:r>
          <w:rPr>
            <w:rStyle w:val="ListLabel82"/>
            <w:rFonts w:eastAsia="Times New Roman" w:cs="Times New Roman" w:ascii="Times New Roman" w:hAnsi="Times New Roman"/>
            <w:color w:val="1155CC"/>
            <w:sz w:val="28"/>
            <w:szCs w:val="28"/>
            <w:u w:val="single"/>
          </w:rPr>
          <w:t>https://patentscope.wipo.int/search/ru/detail.jsf?docId=RU97347769&amp;_cid=P12-L2AAV7-37292-1</w:t>
        </w:r>
      </w:hyperlink>
      <w:r>
        <w:rPr>
          <w:rFonts w:eastAsia="Times New Roman" w:cs="Times New Roman" w:ascii="Times New Roman" w:hAnsi="Times New Roman"/>
          <w:sz w:val="28"/>
          <w:szCs w:val="28"/>
        </w:rPr>
        <w:t xml:space="preserve"> (Патент РФ № 0002515392, 10.05.2014.)</w:t>
      </w:r>
    </w:p>
    <w:p>
      <w:pPr>
        <w:pStyle w:val="Normal1"/>
        <w:widowControl/>
        <w:numPr>
          <w:ilvl w:val="0"/>
          <w:numId w:val="1"/>
        </w:numPr>
        <w:bidi w:val="0"/>
        <w:spacing w:lineRule="auto" w:line="276"/>
        <w:ind w:left="449" w:right="0" w:hanging="360"/>
        <w:jc w:val="both"/>
        <w:rPr/>
      </w:pPr>
      <w:hyperlink r:id="rId6">
        <w:r>
          <w:rPr>
            <w:rStyle w:val="ListLabel82"/>
            <w:rFonts w:eastAsia="Times New Roman" w:cs="Times New Roman" w:ascii="Times New Roman" w:hAnsi="Times New Roman"/>
            <w:color w:val="1155CC"/>
            <w:sz w:val="28"/>
            <w:szCs w:val="28"/>
            <w:u w:val="single"/>
          </w:rPr>
          <w:t>https://findpatent.ru/patent/271/2711806.html</w:t>
        </w:r>
      </w:hyperlink>
      <w:r>
        <w:rPr>
          <w:rFonts w:eastAsia="Times New Roman" w:cs="Times New Roman" w:ascii="Times New Roman" w:hAnsi="Times New Roman"/>
          <w:sz w:val="28"/>
          <w:szCs w:val="28"/>
        </w:rPr>
        <w:t xml:space="preserve"> (Патент РФ №RU 2711806, 22.01.2020.)</w:t>
      </w:r>
    </w:p>
    <w:p>
      <w:pPr>
        <w:pStyle w:val="Normal1"/>
        <w:widowControl/>
        <w:numPr>
          <w:ilvl w:val="0"/>
          <w:numId w:val="1"/>
        </w:numPr>
        <w:bidi w:val="0"/>
        <w:spacing w:lineRule="auto" w:line="276"/>
        <w:ind w:left="449" w:right="0" w:hanging="360"/>
        <w:jc w:val="both"/>
        <w:rPr/>
      </w:pPr>
      <w:hyperlink r:id="rId7">
        <w:r>
          <w:rPr>
            <w:rStyle w:val="ListLabel82"/>
            <w:rFonts w:eastAsia="Times New Roman" w:cs="Times New Roman" w:ascii="Times New Roman" w:hAnsi="Times New Roman"/>
            <w:color w:val="1155CC"/>
            <w:sz w:val="28"/>
            <w:szCs w:val="28"/>
            <w:u w:val="single"/>
          </w:rPr>
          <w:t>https://findpatent.ru/patent/270/2704851.html</w:t>
        </w:r>
      </w:hyperlink>
      <w:r>
        <w:rPr>
          <w:rFonts w:eastAsia="Times New Roman" w:cs="Times New Roman" w:ascii="Times New Roman" w:hAnsi="Times New Roman"/>
          <w:sz w:val="28"/>
          <w:szCs w:val="28"/>
        </w:rPr>
        <w:t xml:space="preserve"> (Патент РФ №RU2704851, 31.10.2019)</w:t>
      </w:r>
    </w:p>
    <w:p>
      <w:pPr>
        <w:pStyle w:val="Normal1"/>
        <w:widowControl/>
        <w:numPr>
          <w:ilvl w:val="0"/>
          <w:numId w:val="1"/>
        </w:numPr>
        <w:bidi w:val="0"/>
        <w:spacing w:lineRule="auto" w:line="276"/>
        <w:ind w:left="449" w:right="0" w:hanging="360"/>
        <w:jc w:val="both"/>
        <w:rPr/>
      </w:pPr>
      <w:hyperlink r:id="rId8">
        <w:r>
          <w:rPr>
            <w:rStyle w:val="ListLabel82"/>
            <w:rFonts w:eastAsia="Times New Roman" w:cs="Times New Roman" w:ascii="Times New Roman" w:hAnsi="Times New Roman"/>
            <w:color w:val="1155CC"/>
            <w:sz w:val="28"/>
            <w:szCs w:val="28"/>
            <w:u w:val="single"/>
          </w:rPr>
          <w:t>https://findpatent.ru/patent/271/2714735.html</w:t>
        </w:r>
      </w:hyperlink>
      <w:r>
        <w:rPr>
          <w:rFonts w:eastAsia="Times New Roman" w:cs="Times New Roman" w:ascii="Times New Roman" w:hAnsi="Times New Roman"/>
          <w:sz w:val="28"/>
          <w:szCs w:val="28"/>
        </w:rPr>
        <w:t xml:space="preserve"> (Патент РФ №RU 2714735, 19.02.2020.)</w:t>
      </w:r>
    </w:p>
    <w:p>
      <w:pPr>
        <w:pStyle w:val="Normal1"/>
        <w:widowControl/>
        <w:numPr>
          <w:ilvl w:val="0"/>
          <w:numId w:val="1"/>
        </w:numPr>
        <w:bidi w:val="0"/>
        <w:spacing w:lineRule="auto" w:line="276"/>
        <w:ind w:left="449" w:right="0" w:hanging="360"/>
        <w:jc w:val="both"/>
        <w:rPr/>
      </w:pPr>
      <w:hyperlink r:id="rId9">
        <w:r>
          <w:rPr>
            <w:rStyle w:val="ListLabel82"/>
            <w:rFonts w:eastAsia="Times New Roman" w:cs="Times New Roman" w:ascii="Times New Roman" w:hAnsi="Times New Roman"/>
            <w:color w:val="1155CC"/>
            <w:sz w:val="28"/>
            <w:szCs w:val="28"/>
            <w:u w:val="single"/>
          </w:rPr>
          <w:t>https://patenton.ru/patent/RU2645343C1</w:t>
        </w:r>
      </w:hyperlink>
      <w:r>
        <w:rPr>
          <w:rFonts w:eastAsia="Times New Roman" w:cs="Times New Roman" w:ascii="Times New Roman" w:hAnsi="Times New Roman"/>
          <w:sz w:val="28"/>
          <w:szCs w:val="28"/>
        </w:rPr>
        <w:t xml:space="preserve"> (Патент РФ №RU2645343, 21.02.2018.)</w:t>
      </w:r>
    </w:p>
    <w:p>
      <w:pPr>
        <w:pStyle w:val="Normal1"/>
        <w:widowControl/>
        <w:numPr>
          <w:ilvl w:val="0"/>
          <w:numId w:val="1"/>
        </w:numPr>
        <w:bidi w:val="0"/>
        <w:spacing w:lineRule="auto" w:line="276"/>
        <w:ind w:left="449" w:right="0" w:hanging="360"/>
        <w:jc w:val="both"/>
        <w:rPr/>
      </w:pPr>
      <w:hyperlink r:id="rId10">
        <w:r>
          <w:rPr>
            <w:rStyle w:val="ListLabel82"/>
            <w:rFonts w:eastAsia="Times New Roman" w:cs="Times New Roman" w:ascii="Times New Roman" w:hAnsi="Times New Roman"/>
            <w:color w:val="1155CC"/>
            <w:sz w:val="28"/>
            <w:szCs w:val="28"/>
            <w:u w:val="single"/>
          </w:rPr>
          <w:t>https://findpatent.ru/patent/267/2675511.html</w:t>
        </w:r>
      </w:hyperlink>
      <w:r>
        <w:rPr>
          <w:rFonts w:eastAsia="Times New Roman" w:cs="Times New Roman" w:ascii="Times New Roman" w:hAnsi="Times New Roman"/>
          <w:sz w:val="28"/>
          <w:szCs w:val="28"/>
        </w:rPr>
        <w:t xml:space="preserve"> (Патент РФ №RU 2675511, 01.01.2019.)</w:t>
      </w:r>
    </w:p>
    <w:p>
      <w:pPr>
        <w:pStyle w:val="Normal1"/>
        <w:widowControl/>
        <w:numPr>
          <w:ilvl w:val="0"/>
          <w:numId w:val="1"/>
        </w:numPr>
        <w:bidi w:val="0"/>
        <w:spacing w:lineRule="auto" w:line="276"/>
        <w:ind w:left="449" w:right="0" w:hanging="360"/>
        <w:jc w:val="both"/>
        <w:rPr/>
      </w:pPr>
      <w:hyperlink r:id="rId11">
        <w:r>
          <w:rPr>
            <w:rStyle w:val="ListLabel82"/>
            <w:rFonts w:eastAsia="Times New Roman" w:cs="Times New Roman" w:ascii="Times New Roman" w:hAnsi="Times New Roman"/>
            <w:color w:val="1155CC"/>
            <w:sz w:val="28"/>
            <w:szCs w:val="28"/>
            <w:u w:val="single"/>
          </w:rPr>
          <w:t>https://findpatent.ru/patent/261/2614813.html</w:t>
        </w:r>
      </w:hyperlink>
      <w:r>
        <w:rPr>
          <w:rFonts w:eastAsia="Times New Roman" w:cs="Times New Roman" w:ascii="Times New Roman" w:hAnsi="Times New Roman"/>
          <w:sz w:val="28"/>
          <w:szCs w:val="28"/>
        </w:rPr>
        <w:t xml:space="preserve"> (Патента РФ №RU 2614813, 12.04.2017.)</w:t>
      </w:r>
    </w:p>
    <w:p>
      <w:pPr>
        <w:pStyle w:val="Normal1"/>
        <w:widowControl/>
        <w:numPr>
          <w:ilvl w:val="0"/>
          <w:numId w:val="1"/>
        </w:numPr>
        <w:bidi w:val="0"/>
        <w:spacing w:lineRule="auto" w:line="276"/>
        <w:ind w:left="449" w:right="0" w:hanging="360"/>
        <w:jc w:val="both"/>
        <w:rPr/>
      </w:pPr>
      <w:hyperlink r:id="rId12">
        <w:r>
          <w:rPr>
            <w:rStyle w:val="ListLabel82"/>
            <w:rFonts w:eastAsia="Times New Roman" w:cs="Times New Roman" w:ascii="Times New Roman" w:hAnsi="Times New Roman"/>
            <w:color w:val="1155CC"/>
            <w:sz w:val="28"/>
            <w:szCs w:val="28"/>
            <w:u w:val="single"/>
          </w:rPr>
          <w:t>https://findpatent.ru/patent/237/2379883.html</w:t>
        </w:r>
      </w:hyperlink>
      <w:r>
        <w:rPr>
          <w:rFonts w:eastAsia="Times New Roman" w:cs="Times New Roman" w:ascii="Times New Roman" w:hAnsi="Times New Roman"/>
          <w:sz w:val="28"/>
          <w:szCs w:val="28"/>
        </w:rPr>
        <w:t xml:space="preserve"> (Патент РФ №RU 2379883, 21.03.2013.)</w:t>
      </w:r>
    </w:p>
    <w:p>
      <w:pPr>
        <w:pStyle w:val="Normal1"/>
        <w:widowControl/>
        <w:numPr>
          <w:ilvl w:val="0"/>
          <w:numId w:val="1"/>
        </w:numPr>
        <w:bidi w:val="0"/>
        <w:spacing w:lineRule="auto" w:line="276"/>
        <w:ind w:left="449" w:right="0" w:hanging="360"/>
        <w:jc w:val="both"/>
        <w:rPr/>
      </w:pPr>
      <w:hyperlink r:id="rId13">
        <w:r>
          <w:rPr>
            <w:rStyle w:val="ListLabel82"/>
            <w:rFonts w:eastAsia="Times New Roman" w:cs="Times New Roman" w:ascii="Times New Roman" w:hAnsi="Times New Roman"/>
            <w:color w:val="1155CC"/>
            <w:sz w:val="28"/>
            <w:szCs w:val="28"/>
            <w:u w:val="single"/>
          </w:rPr>
          <w:t>https://patentscope.wipo.int/search/ru/detail.jsf?docId=RU92375087&amp;_cid=P12-L2AAV7-37292-1</w:t>
        </w:r>
      </w:hyperlink>
      <w:r>
        <w:rPr>
          <w:rFonts w:eastAsia="Times New Roman" w:cs="Times New Roman" w:ascii="Times New Roman" w:hAnsi="Times New Roman"/>
          <w:sz w:val="28"/>
          <w:szCs w:val="28"/>
        </w:rPr>
        <w:t xml:space="preserve"> (Патент РФ № 0002490875, 27.08.2013.)</w:t>
      </w:r>
    </w:p>
    <w:p>
      <w:pPr>
        <w:pStyle w:val="Normal1"/>
        <w:widowControl/>
        <w:numPr>
          <w:ilvl w:val="0"/>
          <w:numId w:val="1"/>
        </w:numPr>
        <w:bidi w:val="0"/>
        <w:spacing w:lineRule="auto" w:line="276"/>
        <w:ind w:left="449" w:right="0" w:hanging="360"/>
        <w:jc w:val="both"/>
        <w:rPr/>
      </w:pPr>
      <w:hyperlink r:id="rId14">
        <w:r>
          <w:rPr>
            <w:rStyle w:val="ListLabel82"/>
            <w:rFonts w:eastAsia="Times New Roman" w:cs="Times New Roman" w:ascii="Times New Roman" w:hAnsi="Times New Roman"/>
            <w:color w:val="1155CC"/>
            <w:sz w:val="28"/>
            <w:szCs w:val="28"/>
            <w:u w:val="single"/>
          </w:rPr>
          <w:t>https://patentscope.wipo.int/search/ru/detail.jsf?docId=RU92375087&amp;_cid=P12-L2AAV7-37292-1</w:t>
        </w:r>
      </w:hyperlink>
      <w:r>
        <w:rPr>
          <w:rFonts w:eastAsia="Times New Roman" w:cs="Times New Roman" w:ascii="Times New Roman" w:hAnsi="Times New Roman"/>
          <w:sz w:val="28"/>
          <w:szCs w:val="28"/>
        </w:rPr>
        <w:t xml:space="preserve"> (Патент РФ № 0002490875, 27.08.2013.)</w:t>
      </w:r>
    </w:p>
    <w:p>
      <w:pPr>
        <w:pStyle w:val="Normal1"/>
        <w:widowControl/>
        <w:numPr>
          <w:ilvl w:val="0"/>
          <w:numId w:val="1"/>
        </w:numPr>
        <w:bidi w:val="0"/>
        <w:spacing w:lineRule="auto" w:line="276"/>
        <w:ind w:left="449" w:right="0" w:hanging="360"/>
        <w:jc w:val="both"/>
        <w:rPr/>
      </w:pPr>
      <w:hyperlink r:id="rId15">
        <w:r>
          <w:rPr>
            <w:rStyle w:val="ListLabel82"/>
            <w:rFonts w:eastAsia="Times New Roman" w:cs="Times New Roman" w:ascii="Times New Roman" w:hAnsi="Times New Roman"/>
            <w:color w:val="1155CC"/>
            <w:sz w:val="28"/>
            <w:szCs w:val="28"/>
            <w:u w:val="single"/>
          </w:rPr>
          <w:t>https://patentscope.wipo.int/search/ru/detail.jsf?docId=RU92334303&amp;_cid=P12-L2AAV7-37292-1</w:t>
        </w:r>
      </w:hyperlink>
      <w:r>
        <w:rPr>
          <w:rFonts w:eastAsia="Times New Roman" w:cs="Times New Roman" w:ascii="Times New Roman" w:hAnsi="Times New Roman"/>
          <w:sz w:val="28"/>
          <w:szCs w:val="28"/>
        </w:rPr>
        <w:t xml:space="preserve"> (Патент РФ № 2011143938, 10.05.2013.)</w:t>
      </w:r>
    </w:p>
    <w:p>
      <w:pPr>
        <w:pStyle w:val="Normal1"/>
        <w:widowControl/>
        <w:numPr>
          <w:ilvl w:val="0"/>
          <w:numId w:val="1"/>
        </w:numPr>
        <w:bidi w:val="0"/>
        <w:spacing w:lineRule="auto" w:line="276"/>
        <w:ind w:left="449" w:right="0" w:hanging="360"/>
        <w:jc w:val="both"/>
        <w:rPr/>
      </w:pPr>
      <w:hyperlink r:id="rId16">
        <w:r>
          <w:rPr>
            <w:rStyle w:val="ListLabel82"/>
            <w:rFonts w:eastAsia="Times New Roman" w:cs="Times New Roman" w:ascii="Times New Roman" w:hAnsi="Times New Roman"/>
            <w:color w:val="1155CC"/>
            <w:sz w:val="28"/>
            <w:szCs w:val="28"/>
            <w:u w:val="single"/>
          </w:rPr>
          <w:t>https://worldwide.espacenet.com/patent/search/family/069405002/publication/US2020045931A1?q=pn%3DUS2020045931A1</w:t>
        </w:r>
      </w:hyperlink>
      <w:r>
        <w:rPr>
          <w:rFonts w:eastAsia="Times New Roman" w:cs="Times New Roman" w:ascii="Times New Roman" w:hAnsi="Times New Roman"/>
          <w:sz w:val="28"/>
          <w:szCs w:val="28"/>
        </w:rPr>
        <w:t xml:space="preserve"> (Патент США №US2020045931A1, 13.02.2020)</w:t>
      </w:r>
    </w:p>
    <w:p>
      <w:pPr>
        <w:pStyle w:val="Normal1"/>
        <w:widowControl/>
        <w:numPr>
          <w:ilvl w:val="0"/>
          <w:numId w:val="1"/>
        </w:numPr>
        <w:bidi w:val="0"/>
        <w:spacing w:lineRule="auto" w:line="276"/>
        <w:ind w:left="449" w:right="0" w:hanging="360"/>
        <w:jc w:val="both"/>
        <w:rPr/>
      </w:pPr>
      <w:hyperlink r:id="rId17">
        <w:r>
          <w:rPr>
            <w:rStyle w:val="ListLabel82"/>
            <w:rFonts w:eastAsia="Times New Roman" w:cs="Times New Roman" w:ascii="Times New Roman" w:hAnsi="Times New Roman"/>
            <w:color w:val="1155CC"/>
            <w:sz w:val="28"/>
            <w:szCs w:val="28"/>
            <w:u w:val="single"/>
          </w:rPr>
          <w:t>https://worldwide.espacenet.com/patent/search/family/075108758/publication/RS20201177A1?q=pn%3DRS20201177A1</w:t>
        </w:r>
      </w:hyperlink>
      <w:r>
        <w:rPr>
          <w:rFonts w:eastAsia="Times New Roman" w:cs="Times New Roman" w:ascii="Times New Roman" w:hAnsi="Times New Roman"/>
          <w:sz w:val="28"/>
          <w:szCs w:val="28"/>
        </w:rPr>
        <w:t xml:space="preserve"> (Патент США №RS20201177A1, 31.03.2022)</w:t>
      </w:r>
    </w:p>
    <w:p>
      <w:pPr>
        <w:pStyle w:val="Normal1"/>
        <w:widowControl/>
        <w:numPr>
          <w:ilvl w:val="0"/>
          <w:numId w:val="1"/>
        </w:numPr>
        <w:bidi w:val="0"/>
        <w:spacing w:lineRule="auto" w:line="276"/>
        <w:ind w:left="449" w:right="0" w:hanging="360"/>
        <w:jc w:val="both"/>
        <w:rPr/>
      </w:pPr>
      <w:hyperlink r:id="rId18">
        <w:r>
          <w:rPr>
            <w:rStyle w:val="ListLabel82"/>
            <w:rFonts w:eastAsia="Times New Roman" w:cs="Times New Roman" w:ascii="Times New Roman" w:hAnsi="Times New Roman"/>
            <w:color w:val="1155CC"/>
            <w:sz w:val="28"/>
            <w:szCs w:val="28"/>
            <w:u w:val="single"/>
          </w:rPr>
          <w:t>https://worldwide.espacenet.com/patent/search/family/067847732/publication/US2021267161A1?q=pn%3DUS2021267161A1</w:t>
        </w:r>
      </w:hyperlink>
      <w:r>
        <w:rPr>
          <w:rFonts w:eastAsia="Times New Roman" w:cs="Times New Roman" w:ascii="Times New Roman" w:hAnsi="Times New Roman"/>
          <w:sz w:val="28"/>
          <w:szCs w:val="28"/>
        </w:rPr>
        <w:t xml:space="preserve"> (Патент США №US2021267161A1, 02.09.2021)</w:t>
      </w:r>
    </w:p>
    <w:p>
      <w:pPr>
        <w:pStyle w:val="Normal1"/>
        <w:widowControl/>
        <w:numPr>
          <w:ilvl w:val="0"/>
          <w:numId w:val="1"/>
        </w:numPr>
        <w:bidi w:val="0"/>
        <w:spacing w:lineRule="auto" w:line="276"/>
        <w:ind w:left="449" w:right="0" w:hanging="360"/>
        <w:jc w:val="both"/>
        <w:rPr/>
      </w:pPr>
      <w:hyperlink r:id="rId19">
        <w:r>
          <w:rPr>
            <w:rStyle w:val="ListLabel82"/>
            <w:rFonts w:eastAsia="Times New Roman" w:cs="Times New Roman" w:ascii="Times New Roman" w:hAnsi="Times New Roman"/>
            <w:color w:val="1155CC"/>
            <w:sz w:val="28"/>
            <w:szCs w:val="28"/>
            <w:u w:val="single"/>
          </w:rPr>
          <w:t>https://worldwide.espacenet.com/patent/search/family/065678951/publication/RU187419U1?q=pn%3DRU187419U1</w:t>
        </w:r>
      </w:hyperlink>
      <w:r>
        <w:rPr>
          <w:rFonts w:eastAsia="Times New Roman" w:cs="Times New Roman" w:ascii="Times New Roman" w:hAnsi="Times New Roman"/>
          <w:sz w:val="28"/>
          <w:szCs w:val="28"/>
        </w:rPr>
        <w:t xml:space="preserve"> (Патент РФ №RU187419U1, 05.03.2019)</w:t>
      </w:r>
    </w:p>
    <w:p>
      <w:pPr>
        <w:pStyle w:val="Normal1"/>
        <w:widowControl/>
        <w:numPr>
          <w:ilvl w:val="0"/>
          <w:numId w:val="1"/>
        </w:numPr>
        <w:bidi w:val="0"/>
        <w:spacing w:lineRule="auto" w:line="276"/>
        <w:ind w:left="449" w:right="0" w:hanging="360"/>
        <w:jc w:val="both"/>
        <w:rPr/>
      </w:pPr>
      <w:hyperlink r:id="rId20">
        <w:r>
          <w:rPr>
            <w:rStyle w:val="ListLabel82"/>
            <w:rFonts w:eastAsia="Times New Roman" w:cs="Times New Roman" w:ascii="Times New Roman" w:hAnsi="Times New Roman"/>
            <w:color w:val="1155CC"/>
            <w:sz w:val="28"/>
            <w:szCs w:val="28"/>
            <w:u w:val="single"/>
          </w:rPr>
          <w:t>https://worldwide.espacenet.com/patent/search/family/068617985/publication/US2020128785A1?q=pn%3DUS2020128785A1</w:t>
        </w:r>
      </w:hyperlink>
      <w:r>
        <w:rPr>
          <w:rFonts w:eastAsia="Times New Roman" w:cs="Times New Roman" w:ascii="Times New Roman" w:hAnsi="Times New Roman"/>
          <w:sz w:val="28"/>
          <w:szCs w:val="28"/>
        </w:rPr>
        <w:t xml:space="preserve"> (Патент США №US2020128785A1, 30.04.2020)</w:t>
      </w:r>
    </w:p>
    <w:p>
      <w:pPr>
        <w:pStyle w:val="Normal1"/>
        <w:widowControl/>
        <w:numPr>
          <w:ilvl w:val="0"/>
          <w:numId w:val="1"/>
        </w:numPr>
        <w:bidi w:val="0"/>
        <w:spacing w:lineRule="auto" w:line="276"/>
        <w:ind w:left="449" w:right="0" w:hanging="360"/>
        <w:jc w:val="both"/>
        <w:rPr/>
      </w:pPr>
      <w:hyperlink r:id="rId21">
        <w:r>
          <w:rPr>
            <w:rStyle w:val="ListLabel82"/>
            <w:rFonts w:eastAsia="Times New Roman" w:cs="Times New Roman" w:ascii="Times New Roman" w:hAnsi="Times New Roman"/>
            <w:color w:val="1155CC"/>
            <w:sz w:val="28"/>
            <w:szCs w:val="28"/>
            <w:u w:val="single"/>
          </w:rPr>
          <w:t>https://www.sciencedirect.com/science/article/pii/S0022030221004811</w:t>
        </w:r>
      </w:hyperlink>
      <w:r>
        <w:rPr>
          <w:rFonts w:eastAsia="Times New Roman" w:cs="Times New Roman" w:ascii="Times New Roman" w:hAnsi="Times New Roman"/>
          <w:sz w:val="28"/>
          <w:szCs w:val="28"/>
        </w:rPr>
        <w:t xml:space="preserve"> (Megan Verdon, Adam Langworthy, Richard Rawnsley. 2021. Virtual fencing technology to intensively graze lactating dairy cattle. II: Effects on cow welfare and behavior. Journal of Dairy Science. 104(6):7084-7094.)</w:t>
      </w:r>
    </w:p>
    <w:p>
      <w:pPr>
        <w:pStyle w:val="Normal1"/>
        <w:widowControl/>
        <w:numPr>
          <w:ilvl w:val="0"/>
          <w:numId w:val="1"/>
        </w:numPr>
        <w:bidi w:val="0"/>
        <w:spacing w:lineRule="auto" w:line="276"/>
        <w:ind w:left="449" w:right="0" w:hanging="360"/>
        <w:jc w:val="both"/>
        <w:rPr/>
      </w:pPr>
      <w:hyperlink r:id="rId22">
        <w:r>
          <w:rPr>
            <w:rStyle w:val="ListLabel82"/>
            <w:rFonts w:eastAsia="Times New Roman" w:cs="Times New Roman" w:ascii="Times New Roman" w:hAnsi="Times New Roman"/>
            <w:color w:val="1155CC"/>
            <w:sz w:val="28"/>
            <w:szCs w:val="28"/>
            <w:u w:val="single"/>
          </w:rPr>
          <w:t>https://www.mdpi.com/2076-2615/9/7/429</w:t>
        </w:r>
      </w:hyperlink>
      <w:r>
        <w:rPr>
          <w:rFonts w:eastAsia="Times New Roman" w:cs="Times New Roman" w:ascii="Times New Roman" w:hAnsi="Times New Roman"/>
          <w:sz w:val="28"/>
          <w:szCs w:val="28"/>
        </w:rPr>
        <w:t xml:space="preserve"> (Lomax, Sabrina, Patricia Colusso, and Cameron E.F. Clark. 2019. "Does Virtual Fencing Work for Grazing Dairy Cattle?" Animals 9, no. 7: 429.)</w:t>
      </w:r>
    </w:p>
    <w:p>
      <w:pPr>
        <w:pStyle w:val="Normal1"/>
        <w:widowControl/>
        <w:numPr>
          <w:ilvl w:val="0"/>
          <w:numId w:val="1"/>
        </w:numPr>
        <w:bidi w:val="0"/>
        <w:spacing w:lineRule="auto" w:line="276"/>
        <w:ind w:left="449" w:right="0" w:hanging="360"/>
        <w:jc w:val="both"/>
        <w:rPr/>
      </w:pPr>
      <w:hyperlink r:id="rId23">
        <w:r>
          <w:rPr>
            <w:rStyle w:val="ListLabel82"/>
            <w:rFonts w:eastAsia="Times New Roman" w:cs="Times New Roman" w:ascii="Times New Roman" w:hAnsi="Times New Roman"/>
            <w:color w:val="1155CC"/>
            <w:sz w:val="28"/>
            <w:szCs w:val="28"/>
            <w:u w:val="single"/>
          </w:rPr>
          <w:t>https://www.sciencedirect.com/science/article/pii/S002203022100480X</w:t>
        </w:r>
      </w:hyperlink>
      <w:r>
        <w:rPr>
          <w:rFonts w:eastAsia="Times New Roman" w:cs="Times New Roman" w:ascii="Times New Roman" w:hAnsi="Times New Roman"/>
          <w:sz w:val="28"/>
          <w:szCs w:val="28"/>
        </w:rPr>
        <w:t xml:space="preserve"> (Adam D. Langworthy, Megan Verdon, Mark J. Freeman, Ross Corkrey, James L. Hills, Richard P. Rawnsley. 2021. Virtual fencing technology to intensively graze lactating dairy cattle. I: Technology efficacy and pasture utilization. Journal of Dairy Science. 104(6):7071-7083.)</w:t>
      </w:r>
    </w:p>
    <w:p>
      <w:pPr>
        <w:pStyle w:val="Normal1"/>
        <w:widowControl/>
        <w:numPr>
          <w:ilvl w:val="0"/>
          <w:numId w:val="1"/>
        </w:numPr>
        <w:bidi w:val="0"/>
        <w:spacing w:lineRule="auto" w:line="276"/>
        <w:ind w:left="449" w:right="0" w:hanging="360"/>
        <w:jc w:val="both"/>
        <w:rPr/>
      </w:pPr>
      <w:hyperlink r:id="rId24">
        <w:r>
          <w:rPr>
            <w:rStyle w:val="ListLabel82"/>
            <w:rFonts w:eastAsia="Times New Roman" w:cs="Times New Roman" w:ascii="Times New Roman" w:hAnsi="Times New Roman"/>
            <w:color w:val="1155CC"/>
            <w:sz w:val="28"/>
            <w:szCs w:val="28"/>
            <w:u w:val="single"/>
          </w:rPr>
          <w:t>https://www.sciencedirect.com/science/article/abs/pii/S0168169919309445</w:t>
        </w:r>
      </w:hyperlink>
      <w:r>
        <w:rPr>
          <w:rFonts w:eastAsia="Times New Roman" w:cs="Times New Roman" w:ascii="Times New Roman" w:hAnsi="Times New Roman"/>
          <w:sz w:val="28"/>
          <w:szCs w:val="28"/>
        </w:rPr>
        <w:t xml:space="preserve"> (Diarmuid McSweeney, Bernadette O'Brien, Neil E. Coughlan, Alexis Férard, Stepan Ivanov, Paddy Halton, Christina Umstatter. 2020. Virtual fencing without visual cues: Design, difficulties of implementation, and associated dairy cow behaviour. Computers and Electronics in Agriculture. 176:105613.)</w:t>
      </w:r>
    </w:p>
    <w:p>
      <w:pPr>
        <w:pStyle w:val="Normal1"/>
        <w:widowControl/>
        <w:numPr>
          <w:ilvl w:val="0"/>
          <w:numId w:val="1"/>
        </w:numPr>
        <w:bidi w:val="0"/>
        <w:spacing w:lineRule="auto" w:line="276"/>
        <w:ind w:left="449" w:right="0" w:hanging="360"/>
        <w:jc w:val="both"/>
        <w:rPr/>
      </w:pPr>
      <w:hyperlink r:id="rId25">
        <w:r>
          <w:rPr>
            <w:rStyle w:val="ListLabel82"/>
            <w:rFonts w:eastAsia="Times New Roman" w:cs="Times New Roman" w:ascii="Times New Roman" w:hAnsi="Times New Roman"/>
            <w:color w:val="1155CC"/>
            <w:sz w:val="28"/>
            <w:szCs w:val="28"/>
            <w:u w:val="single"/>
          </w:rPr>
          <w:t>https://www.frontiersin.org/articles/10.3389/fvets.2019.00445/full</w:t>
        </w:r>
      </w:hyperlink>
      <w:r>
        <w:rPr>
          <w:rFonts w:eastAsia="Times New Roman" w:cs="Times New Roman" w:ascii="Times New Roman" w:hAnsi="Times New Roman"/>
          <w:sz w:val="28"/>
          <w:szCs w:val="28"/>
        </w:rPr>
        <w:t xml:space="preserve"> (Campbell Dana L. M., Lea Jim M., Keshavarzi Hamideh, Lee Caroline. 2019. Virtual Fencing Is Comparable to Electric Tape Fencing for Cattle Behavior and Welfare. Frontiers in Veterinary Science. (6))</w:t>
      </w:r>
    </w:p>
    <w:p>
      <w:pPr>
        <w:pStyle w:val="Normal1"/>
        <w:widowControl/>
        <w:numPr>
          <w:ilvl w:val="0"/>
          <w:numId w:val="1"/>
        </w:numPr>
        <w:bidi w:val="0"/>
        <w:spacing w:lineRule="auto" w:line="276"/>
        <w:ind w:left="449" w:right="0" w:hanging="360"/>
        <w:jc w:val="both"/>
        <w:rPr/>
      </w:pPr>
      <w:hyperlink r:id="rId26">
        <w:r>
          <w:rPr>
            <w:rStyle w:val="ListLabel82"/>
            <w:rFonts w:eastAsia="Times New Roman" w:cs="Times New Roman" w:ascii="Times New Roman" w:hAnsi="Times New Roman"/>
            <w:color w:val="1155CC"/>
            <w:sz w:val="28"/>
            <w:szCs w:val="28"/>
            <w:u w:val="single"/>
          </w:rPr>
          <w:t>https://www.publish.csiro.au/an/AN21459</w:t>
        </w:r>
      </w:hyperlink>
      <w:r>
        <w:rPr>
          <w:rFonts w:eastAsia="Times New Roman" w:cs="Times New Roman" w:ascii="Times New Roman" w:hAnsi="Times New Roman"/>
          <w:sz w:val="28"/>
          <w:szCs w:val="28"/>
        </w:rPr>
        <w:t xml:space="preserve"> (Marini Danila, Cowley Fran, Belson Sue, Lee Caroline. 2022. Comparison of virtually fencing and electrically fencing sheep for pasture management. Animal Production Science. 3(7):50-58)</w:t>
      </w:r>
    </w:p>
    <w:p>
      <w:pPr>
        <w:pStyle w:val="Normal1"/>
        <w:widowControl/>
        <w:numPr>
          <w:ilvl w:val="0"/>
          <w:numId w:val="1"/>
        </w:numPr>
        <w:bidi w:val="0"/>
        <w:spacing w:lineRule="auto" w:line="276"/>
        <w:ind w:left="449" w:right="0" w:hanging="360"/>
        <w:jc w:val="both"/>
        <w:rPr/>
      </w:pPr>
      <w:hyperlink r:id="rId27">
        <w:r>
          <w:rPr>
            <w:rStyle w:val="ListLabel82"/>
            <w:rFonts w:eastAsia="Times New Roman" w:cs="Times New Roman" w:ascii="Times New Roman" w:hAnsi="Times New Roman"/>
            <w:color w:val="1155CC"/>
            <w:sz w:val="28"/>
            <w:szCs w:val="28"/>
            <w:u w:val="single"/>
          </w:rPr>
          <w:t>https://worldwide.espacenet.com/patent/search/family/044304457/publication/US2013008391A1?q=pn%3DUS2013008391A1</w:t>
        </w:r>
      </w:hyperlink>
      <w:r>
        <w:rPr>
          <w:rFonts w:eastAsia="Times New Roman" w:cs="Times New Roman" w:ascii="Times New Roman" w:hAnsi="Times New Roman"/>
          <w:sz w:val="28"/>
          <w:szCs w:val="28"/>
        </w:rPr>
        <w:t xml:space="preserve"> (Патент США №US2013008391A1, 10.01.2013)</w:t>
      </w:r>
    </w:p>
    <w:p>
      <w:pPr>
        <w:pStyle w:val="Normal1"/>
        <w:widowControl/>
        <w:numPr>
          <w:ilvl w:val="0"/>
          <w:numId w:val="1"/>
        </w:numPr>
        <w:bidi w:val="0"/>
        <w:spacing w:lineRule="auto" w:line="276"/>
        <w:ind w:left="449" w:right="0" w:hanging="360"/>
        <w:jc w:val="both"/>
        <w:rPr/>
      </w:pPr>
      <w:hyperlink r:id="rId28">
        <w:r>
          <w:rPr>
            <w:rStyle w:val="ListLabel82"/>
            <w:rFonts w:eastAsia="Times New Roman" w:cs="Times New Roman" w:ascii="Times New Roman" w:hAnsi="Times New Roman"/>
            <w:color w:val="1155CC"/>
            <w:sz w:val="28"/>
            <w:szCs w:val="28"/>
            <w:u w:val="single"/>
          </w:rPr>
          <w:t>https://worldwide.espacenet.com/patent/search/family/057111158/publication/US10098324B2?q=pn%3DUS10098324B2</w:t>
        </w:r>
      </w:hyperlink>
      <w:r>
        <w:rPr>
          <w:rFonts w:eastAsia="Times New Roman" w:cs="Times New Roman" w:ascii="Times New Roman" w:hAnsi="Times New Roman"/>
          <w:sz w:val="28"/>
          <w:szCs w:val="28"/>
        </w:rPr>
        <w:t xml:space="preserve"> (Патент США №US10098324B2, 16.10.2018)</w:t>
      </w:r>
    </w:p>
    <w:p>
      <w:pPr>
        <w:pStyle w:val="Normal1"/>
        <w:widowControl/>
        <w:numPr>
          <w:ilvl w:val="0"/>
          <w:numId w:val="1"/>
        </w:numPr>
        <w:bidi w:val="0"/>
        <w:spacing w:lineRule="auto" w:line="276"/>
        <w:ind w:left="449" w:right="0" w:hanging="360"/>
        <w:jc w:val="both"/>
        <w:rPr/>
      </w:pPr>
      <w:hyperlink r:id="rId29">
        <w:r>
          <w:rPr>
            <w:rStyle w:val="ListLabel82"/>
            <w:rFonts w:eastAsia="Times New Roman" w:cs="Times New Roman" w:ascii="Times New Roman" w:hAnsi="Times New Roman"/>
            <w:color w:val="1155CC"/>
            <w:sz w:val="28"/>
            <w:szCs w:val="28"/>
            <w:u w:val="single"/>
          </w:rPr>
          <w:t>https://worldwide.espacenet.com/patent/search/family/066546232/publication/KR20190048161A?q=pn%3DKR20190048161A</w:t>
        </w:r>
      </w:hyperlink>
      <w:r>
        <w:rPr>
          <w:rFonts w:eastAsia="Times New Roman" w:cs="Times New Roman" w:ascii="Times New Roman" w:hAnsi="Times New Roman"/>
          <w:sz w:val="28"/>
          <w:szCs w:val="28"/>
        </w:rPr>
        <w:t xml:space="preserve"> (Па тент КР №KR20190048161A, 09.05.2019)</w:t>
      </w:r>
    </w:p>
    <w:p>
      <w:pPr>
        <w:pStyle w:val="Normal1"/>
        <w:widowControl/>
        <w:numPr>
          <w:ilvl w:val="0"/>
          <w:numId w:val="1"/>
        </w:numPr>
        <w:bidi w:val="0"/>
        <w:spacing w:lineRule="auto" w:line="276"/>
        <w:ind w:left="449" w:right="0" w:hanging="360"/>
        <w:jc w:val="both"/>
        <w:rPr/>
      </w:pPr>
      <w:hyperlink r:id="rId30">
        <w:r>
          <w:rPr>
            <w:rStyle w:val="ListLabel82"/>
            <w:rFonts w:eastAsia="Times New Roman" w:cs="Times New Roman" w:ascii="Times New Roman" w:hAnsi="Times New Roman"/>
            <w:color w:val="1155CC"/>
            <w:sz w:val="28"/>
            <w:szCs w:val="28"/>
            <w:u w:val="single"/>
          </w:rPr>
          <w:t>https://worldwide.espacenet.com/patent/search/family/072708733/publication/KR102159319B1?q=pn%3DKR102159319B1</w:t>
        </w:r>
      </w:hyperlink>
      <w:r>
        <w:rPr>
          <w:rFonts w:eastAsia="Times New Roman" w:cs="Times New Roman" w:ascii="Times New Roman" w:hAnsi="Times New Roman"/>
          <w:sz w:val="28"/>
          <w:szCs w:val="28"/>
        </w:rPr>
        <w:t xml:space="preserve"> (Патент КР №KR102159319B1, 23.09.2020)</w:t>
      </w:r>
    </w:p>
    <w:p>
      <w:pPr>
        <w:pStyle w:val="Normal1"/>
        <w:widowControl/>
        <w:numPr>
          <w:ilvl w:val="0"/>
          <w:numId w:val="1"/>
        </w:numPr>
        <w:bidi w:val="0"/>
        <w:spacing w:lineRule="auto" w:line="276"/>
        <w:ind w:left="449" w:right="0" w:hanging="360"/>
        <w:jc w:val="both"/>
        <w:rPr/>
      </w:pPr>
      <w:hyperlink r:id="rId31">
        <w:r>
          <w:rPr>
            <w:rStyle w:val="ListLabel82"/>
            <w:rFonts w:eastAsia="Times New Roman" w:cs="Times New Roman" w:ascii="Times New Roman" w:hAnsi="Times New Roman"/>
            <w:color w:val="1155CC"/>
            <w:sz w:val="28"/>
            <w:szCs w:val="28"/>
            <w:u w:val="single"/>
          </w:rPr>
          <w:t>https://worldwide.espacenet.com/patent/search/family/072110285/publication/CN111567441A?q=pn%3DCN111567441A</w:t>
        </w:r>
      </w:hyperlink>
      <w:r>
        <w:rPr>
          <w:rFonts w:eastAsia="Times New Roman" w:cs="Times New Roman" w:ascii="Times New Roman" w:hAnsi="Times New Roman"/>
          <w:sz w:val="28"/>
          <w:szCs w:val="28"/>
        </w:rPr>
        <w:t xml:space="preserve"> (Патент КНР №CN111567441A, 25.08.2020)</w:t>
      </w:r>
    </w:p>
    <w:p>
      <w:pPr>
        <w:pStyle w:val="Normal1"/>
        <w:widowControl/>
        <w:numPr>
          <w:ilvl w:val="0"/>
          <w:numId w:val="1"/>
        </w:numPr>
        <w:bidi w:val="0"/>
        <w:spacing w:lineRule="auto" w:line="276"/>
        <w:ind w:left="449" w:right="0" w:hanging="360"/>
        <w:jc w:val="both"/>
        <w:rPr/>
      </w:pPr>
      <w:hyperlink r:id="rId32">
        <w:r>
          <w:rPr>
            <w:rStyle w:val="ListLabel82"/>
            <w:rFonts w:eastAsia="Times New Roman" w:cs="Times New Roman" w:ascii="Times New Roman" w:hAnsi="Times New Roman"/>
            <w:color w:val="1155CC"/>
            <w:sz w:val="28"/>
            <w:szCs w:val="28"/>
            <w:u w:val="single"/>
          </w:rPr>
          <w:t>https://worldwide.espacenet.com/patent/search/family/060577514/publication/CN109640640A?q=pn%3DCN109640640A</w:t>
        </w:r>
      </w:hyperlink>
      <w:r>
        <w:rPr>
          <w:rFonts w:eastAsia="Times New Roman" w:cs="Times New Roman" w:ascii="Times New Roman" w:hAnsi="Times New Roman"/>
          <w:sz w:val="28"/>
          <w:szCs w:val="28"/>
        </w:rPr>
        <w:t xml:space="preserve"> (Патент КНР №CN109640640A, 16.04.2019)</w:t>
      </w:r>
    </w:p>
    <w:p>
      <w:pPr>
        <w:pStyle w:val="Normal1"/>
        <w:widowControl/>
        <w:numPr>
          <w:ilvl w:val="0"/>
          <w:numId w:val="1"/>
        </w:numPr>
        <w:bidi w:val="0"/>
        <w:spacing w:lineRule="auto" w:line="276"/>
        <w:ind w:left="449" w:right="0" w:hanging="360"/>
        <w:jc w:val="both"/>
        <w:rPr/>
      </w:pPr>
      <w:hyperlink r:id="rId33">
        <w:r>
          <w:rPr>
            <w:rStyle w:val="ListLabel82"/>
            <w:rFonts w:eastAsia="Times New Roman" w:cs="Times New Roman" w:ascii="Times New Roman" w:hAnsi="Times New Roman"/>
            <w:color w:val="1155CC"/>
            <w:sz w:val="28"/>
            <w:szCs w:val="28"/>
            <w:u w:val="single"/>
          </w:rPr>
          <w:t>https://worldwide.espacenet.com/patent/search/family/074661151/publication/WO2021033732A1?q=pn%3DWO2021033732A1</w:t>
        </w:r>
      </w:hyperlink>
      <w:r>
        <w:rPr>
          <w:rFonts w:eastAsia="Times New Roman" w:cs="Times New Roman" w:ascii="Times New Roman" w:hAnsi="Times New Roman"/>
          <w:sz w:val="28"/>
          <w:szCs w:val="28"/>
        </w:rPr>
        <w:t xml:space="preserve"> (Патент КНР №WO2021033732A1, 25.02.2021)</w:t>
      </w:r>
    </w:p>
    <w:p>
      <w:pPr>
        <w:pStyle w:val="Normal1"/>
        <w:widowControl/>
        <w:numPr>
          <w:ilvl w:val="0"/>
          <w:numId w:val="1"/>
        </w:numPr>
        <w:bidi w:val="0"/>
        <w:spacing w:lineRule="auto" w:line="276"/>
        <w:ind w:left="449" w:right="0" w:hanging="360"/>
        <w:jc w:val="both"/>
        <w:rPr/>
      </w:pPr>
      <w:hyperlink r:id="rId34">
        <w:r>
          <w:rPr>
            <w:rStyle w:val="ListLabel82"/>
            <w:rFonts w:eastAsia="Times New Roman" w:cs="Times New Roman" w:ascii="Times New Roman" w:hAnsi="Times New Roman"/>
            <w:color w:val="1155CC"/>
            <w:sz w:val="28"/>
            <w:szCs w:val="28"/>
            <w:u w:val="single"/>
          </w:rPr>
          <w:t>https://worldwide.espacenet.com/patent/search/family/068295839/publication/US2021059213A1?q=pn%3DUS2021059213A1</w:t>
        </w:r>
      </w:hyperlink>
      <w:r>
        <w:rPr>
          <w:rFonts w:eastAsia="Times New Roman" w:cs="Times New Roman" w:ascii="Times New Roman" w:hAnsi="Times New Roman"/>
          <w:sz w:val="28"/>
          <w:szCs w:val="28"/>
        </w:rPr>
        <w:t xml:space="preserve"> (Патент США №US2021059213A1, 04.03.2021)</w:t>
      </w:r>
    </w:p>
    <w:p>
      <w:pPr>
        <w:pStyle w:val="Normal1"/>
        <w:widowControl/>
        <w:numPr>
          <w:ilvl w:val="0"/>
          <w:numId w:val="1"/>
        </w:numPr>
        <w:bidi w:val="0"/>
        <w:spacing w:lineRule="auto" w:line="276"/>
        <w:ind w:left="449" w:right="0" w:hanging="360"/>
        <w:jc w:val="both"/>
        <w:rPr/>
      </w:pPr>
      <w:hyperlink r:id="rId35">
        <w:r>
          <w:rPr>
            <w:rStyle w:val="ListLabel82"/>
            <w:rFonts w:eastAsia="Times New Roman" w:cs="Times New Roman" w:ascii="Times New Roman" w:hAnsi="Times New Roman"/>
            <w:color w:val="1155CC"/>
            <w:sz w:val="28"/>
            <w:szCs w:val="28"/>
            <w:u w:val="single"/>
          </w:rPr>
          <w:t>https://worldwide.espacenet.com/patent/search/family/078994872/publication/CN113869848A?q=pn%3DCN113869848A</w:t>
        </w:r>
      </w:hyperlink>
      <w:r>
        <w:rPr>
          <w:rFonts w:eastAsia="Times New Roman" w:cs="Times New Roman" w:ascii="Times New Roman" w:hAnsi="Times New Roman"/>
          <w:sz w:val="28"/>
          <w:szCs w:val="28"/>
        </w:rPr>
        <w:t xml:space="preserve"> (Патент КНР №CN113869848A, 31.12.2021)</w:t>
      </w:r>
    </w:p>
    <w:p>
      <w:pPr>
        <w:pStyle w:val="Normal1"/>
        <w:widowControl/>
        <w:numPr>
          <w:ilvl w:val="0"/>
          <w:numId w:val="1"/>
        </w:numPr>
        <w:bidi w:val="0"/>
        <w:spacing w:lineRule="auto" w:line="276"/>
        <w:ind w:left="449" w:right="0" w:hanging="360"/>
        <w:jc w:val="both"/>
        <w:rPr/>
      </w:pPr>
      <w:hyperlink r:id="rId36">
        <w:r>
          <w:rPr>
            <w:rStyle w:val="ListLabel82"/>
            <w:rFonts w:eastAsia="Times New Roman" w:cs="Times New Roman" w:ascii="Times New Roman" w:hAnsi="Times New Roman"/>
            <w:color w:val="1155CC"/>
            <w:sz w:val="28"/>
            <w:szCs w:val="28"/>
            <w:u w:val="single"/>
          </w:rPr>
          <w:t>https://cyberleninka.ru/article/n/primenenie-dannyh-distantsionnogo-zondirovaniya-dlya-monitoringa-ispolzovaniya-zemel-selskohozyaystvennogo-naznacheniya</w:t>
        </w:r>
      </w:hyperlink>
      <w:r>
        <w:rPr>
          <w:rFonts w:eastAsia="Times New Roman" w:cs="Times New Roman" w:ascii="Times New Roman" w:hAnsi="Times New Roman"/>
          <w:sz w:val="28"/>
          <w:szCs w:val="28"/>
        </w:rPr>
        <w:t xml:space="preserve"> (Д. Н. Цыганков, В. И. Сысенко. Применение данных дистанционного зондирования для мониторинга использования земель сельскохозяйственного назначения // Ученые записки: Электронный научный журнал Курского государственного университета «Науки о земле». 2012. № 2 (22))</w:t>
      </w:r>
    </w:p>
    <w:p>
      <w:pPr>
        <w:pStyle w:val="Normal1"/>
        <w:widowControl/>
        <w:numPr>
          <w:ilvl w:val="0"/>
          <w:numId w:val="1"/>
        </w:numPr>
        <w:bidi w:val="0"/>
        <w:spacing w:lineRule="auto" w:line="276"/>
        <w:ind w:left="449" w:right="0" w:hanging="360"/>
        <w:jc w:val="both"/>
        <w:rPr/>
      </w:pPr>
      <w:hyperlink r:id="rId37">
        <w:r>
          <w:rPr>
            <w:rStyle w:val="ListLabel82"/>
            <w:rFonts w:eastAsia="Times New Roman" w:cs="Times New Roman" w:ascii="Times New Roman" w:hAnsi="Times New Roman"/>
            <w:color w:val="1155CC"/>
            <w:sz w:val="28"/>
            <w:szCs w:val="28"/>
            <w:u w:val="single"/>
          </w:rPr>
          <w:t>https://cyberleninka.ru/article/n/effektivnost-ispolzovaniya-selskohozyaystvennyh-zemel-v-kazahstane</w:t>
        </w:r>
      </w:hyperlink>
      <w:r>
        <w:rPr>
          <w:rFonts w:eastAsia="Times New Roman" w:cs="Times New Roman" w:ascii="Times New Roman" w:hAnsi="Times New Roman"/>
          <w:sz w:val="28"/>
          <w:szCs w:val="28"/>
        </w:rPr>
        <w:t xml:space="preserve"> (Ахмеджанов Т.К., Джанкуразов Б.О., Нилиповский В.И. Эффективность использования сельскохозяйственных земель в Казахстане // Московский экономический журнал. 202. № 7. С.1-6.)</w:t>
      </w:r>
    </w:p>
    <w:p>
      <w:pPr>
        <w:pStyle w:val="Normal1"/>
        <w:widowControl/>
        <w:numPr>
          <w:ilvl w:val="0"/>
          <w:numId w:val="1"/>
        </w:numPr>
        <w:bidi w:val="0"/>
        <w:spacing w:lineRule="auto" w:line="276"/>
        <w:ind w:left="449" w:right="0" w:hanging="360"/>
        <w:jc w:val="both"/>
        <w:rPr/>
      </w:pPr>
      <w:hyperlink r:id="rId38">
        <w:r>
          <w:rPr>
            <w:rStyle w:val="ListLabel82"/>
            <w:rFonts w:eastAsia="Times New Roman" w:cs="Times New Roman" w:ascii="Times New Roman" w:hAnsi="Times New Roman"/>
            <w:color w:val="1155CC"/>
            <w:sz w:val="28"/>
            <w:szCs w:val="28"/>
            <w:u w:val="single"/>
          </w:rPr>
          <w:t>https://cyberleninka.ru/article/n/tsifrovye-tehnologii-v-organizatsii-pastbischnogo-zhivotnovodstva</w:t>
        </w:r>
      </w:hyperlink>
      <w:r>
        <w:rPr>
          <w:rFonts w:eastAsia="Times New Roman" w:cs="Times New Roman" w:ascii="Times New Roman" w:hAnsi="Times New Roman"/>
          <w:sz w:val="28"/>
          <w:szCs w:val="28"/>
        </w:rPr>
        <w:t xml:space="preserve"> (С.В. Речкин, Ю.А. Хлопко, П.И. Огородников. Цифровые технологии в организации пастбищного животноводства //Известия Оренбургского государственного университета. 2019 № 6 (80). С. 163 – 165.)</w:t>
      </w:r>
    </w:p>
    <w:p>
      <w:pPr>
        <w:pStyle w:val="Normal1"/>
        <w:widowControl/>
        <w:numPr>
          <w:ilvl w:val="0"/>
          <w:numId w:val="1"/>
        </w:numPr>
        <w:bidi w:val="0"/>
        <w:spacing w:lineRule="auto" w:line="276"/>
        <w:ind w:left="449" w:right="0" w:hanging="360"/>
        <w:jc w:val="both"/>
        <w:rPr/>
      </w:pPr>
      <w:hyperlink r:id="rId39">
        <w:r>
          <w:rPr>
            <w:rStyle w:val="ListLabel82"/>
            <w:rFonts w:eastAsia="Times New Roman" w:cs="Times New Roman" w:ascii="Times New Roman" w:hAnsi="Times New Roman"/>
            <w:color w:val="1155CC"/>
            <w:sz w:val="28"/>
            <w:szCs w:val="28"/>
            <w:u w:val="single"/>
          </w:rPr>
          <w:t>https://www.journalofdairyscience.org/article/S0022-0302(21)00480-X/fulltext</w:t>
        </w:r>
      </w:hyperlink>
      <w:r>
        <w:rPr>
          <w:rFonts w:eastAsia="Times New Roman" w:cs="Times New Roman" w:ascii="Times New Roman" w:hAnsi="Times New Roman"/>
          <w:sz w:val="28"/>
          <w:szCs w:val="28"/>
        </w:rPr>
        <w:t xml:space="preserve"> (Langworthy, A.D.; Verdon, M.; Freeman, M.J.; Corkrey, R.; Hills, J.L.; Rawnsley, R.P.  2021. Virtual fencing technology to intensively graze lactating dairy cattle. I: Technology efficacy and pasture utilization. J. Dairy Sci. 104, 7071–7083.)</w:t>
      </w:r>
    </w:p>
    <w:p>
      <w:pPr>
        <w:pStyle w:val="Normal1"/>
        <w:widowControl/>
        <w:numPr>
          <w:ilvl w:val="0"/>
          <w:numId w:val="1"/>
        </w:numPr>
        <w:bidi w:val="0"/>
        <w:spacing w:lineRule="auto" w:line="276"/>
        <w:ind w:left="449" w:right="0" w:hanging="360"/>
        <w:jc w:val="both"/>
        <w:rPr/>
      </w:pPr>
      <w:hyperlink r:id="rId40">
        <w:r>
          <w:rPr>
            <w:rStyle w:val="ListLabel82"/>
            <w:rFonts w:eastAsia="Times New Roman" w:cs="Times New Roman" w:ascii="Times New Roman" w:hAnsi="Times New Roman"/>
            <w:color w:val="1155CC"/>
            <w:sz w:val="28"/>
            <w:szCs w:val="28"/>
            <w:u w:val="single"/>
          </w:rPr>
          <w:t>https://www.sciencedirect.com/science/article/pii/S0190052821000687</w:t>
        </w:r>
      </w:hyperlink>
      <w:r>
        <w:rPr>
          <w:rFonts w:eastAsia="Times New Roman" w:cs="Times New Roman" w:ascii="Times New Roman" w:hAnsi="Times New Roman"/>
          <w:sz w:val="28"/>
          <w:szCs w:val="28"/>
        </w:rPr>
        <w:t xml:space="preserve"> (Vincent Jansen , Alexander C.E. Traynor , Jason W. Karl , Nika Lepak and James Sprinkle // 2021. Monitoring grazing use: Strategies for leveraging technology and adapting to variability // Society of Rangeland Management, p.15:41)</w:t>
      </w:r>
    </w:p>
    <w:p>
      <w:pPr>
        <w:pStyle w:val="Normal1"/>
        <w:widowControl/>
        <w:numPr>
          <w:ilvl w:val="0"/>
          <w:numId w:val="1"/>
        </w:numPr>
        <w:bidi w:val="0"/>
        <w:spacing w:lineRule="auto" w:line="276"/>
        <w:ind w:left="449" w:right="0" w:hanging="360"/>
        <w:jc w:val="both"/>
        <w:rPr/>
      </w:pPr>
      <w:hyperlink r:id="rId41">
        <w:r>
          <w:rPr>
            <w:rStyle w:val="ListLabel82"/>
            <w:rFonts w:eastAsia="Times New Roman" w:cs="Times New Roman" w:ascii="Times New Roman" w:hAnsi="Times New Roman"/>
            <w:color w:val="1155CC"/>
            <w:sz w:val="28"/>
            <w:szCs w:val="28"/>
            <w:u w:val="single"/>
          </w:rPr>
          <w:t>https://academic.oup.com/jpe/article/9/6/649/2623732</w:t>
        </w:r>
      </w:hyperlink>
      <w:r>
        <w:rPr>
          <w:rFonts w:eastAsia="Times New Roman" w:cs="Times New Roman" w:ascii="Times New Roman" w:hAnsi="Times New Roman"/>
          <w:sz w:val="28"/>
          <w:szCs w:val="28"/>
        </w:rPr>
        <w:t xml:space="preserve"> (Iftikhar Ali1, Fiona Cawkwell, Edward Dwyer, Brian Barrett, Stuart Green. 2016 // Satellite remote sensing of grasslands: from observation to management // Journal of Plant Ecology. vol 9, №(6), p. 649–671.)</w:t>
      </w:r>
    </w:p>
    <w:p>
      <w:pPr>
        <w:pStyle w:val="Normal1"/>
        <w:widowControl/>
        <w:numPr>
          <w:ilvl w:val="0"/>
          <w:numId w:val="1"/>
        </w:numPr>
        <w:bidi w:val="0"/>
        <w:spacing w:lineRule="auto" w:line="276"/>
        <w:ind w:left="449" w:right="0" w:hanging="360"/>
        <w:jc w:val="both"/>
        <w:rPr/>
      </w:pPr>
      <w:hyperlink r:id="rId42">
        <w:r>
          <w:rPr>
            <w:rStyle w:val="ListLabel82"/>
            <w:rFonts w:eastAsia="Times New Roman" w:cs="Times New Roman" w:ascii="Times New Roman" w:hAnsi="Times New Roman"/>
            <w:color w:val="1155CC"/>
            <w:sz w:val="28"/>
            <w:szCs w:val="28"/>
            <w:u w:val="single"/>
          </w:rPr>
          <w:t>https://www.mdpi.com/1424-8220/19/7/1598</w:t>
        </w:r>
      </w:hyperlink>
      <w:r>
        <w:rPr>
          <w:rFonts w:eastAsia="Times New Roman" w:cs="Times New Roman" w:ascii="Times New Roman" w:hAnsi="Times New Roman"/>
          <w:sz w:val="28"/>
          <w:szCs w:val="28"/>
        </w:rPr>
        <w:t xml:space="preserve"> (Muminov, A.; Na, D.; Lee, C.; Kang, H.K.; Jeon, H.S. 2019. Modern Virtual Fencing Application: Monitoring and Controlling Behavior of Goats Using GPS Collars and Warning Signals. Sensors. 19(7):1598.)</w:t>
      </w:r>
    </w:p>
    <w:p>
      <w:pPr>
        <w:pStyle w:val="Normal1"/>
        <w:widowControl/>
        <w:numPr>
          <w:ilvl w:val="0"/>
          <w:numId w:val="1"/>
        </w:numPr>
        <w:bidi w:val="0"/>
        <w:spacing w:lineRule="auto" w:line="276"/>
        <w:ind w:left="449" w:right="0" w:hanging="360"/>
        <w:jc w:val="both"/>
        <w:rPr/>
      </w:pPr>
      <w:hyperlink r:id="rId43">
        <w:r>
          <w:rPr>
            <w:rStyle w:val="ListLabel82"/>
            <w:rFonts w:eastAsia="Times New Roman" w:cs="Times New Roman" w:ascii="Times New Roman" w:hAnsi="Times New Roman"/>
            <w:color w:val="1155CC"/>
            <w:sz w:val="28"/>
            <w:szCs w:val="28"/>
            <w:u w:val="single"/>
          </w:rPr>
          <w:t>https://www.mdpi.com/2076-2615/8/3/31</w:t>
        </w:r>
      </w:hyperlink>
      <w:r>
        <w:rPr>
          <w:rFonts w:eastAsia="Times New Roman" w:cs="Times New Roman" w:ascii="Times New Roman" w:hAnsi="Times New Roman"/>
          <w:sz w:val="28"/>
          <w:szCs w:val="28"/>
        </w:rPr>
        <w:t xml:space="preserve"> (Marini D, Llewellyn R, Belson S, Lee C. 2018. Controlling Within-Field Sheep Movement Using Virtual Fencing. Animals. 8(3):31.)</w:t>
      </w:r>
    </w:p>
    <w:p>
      <w:pPr>
        <w:pStyle w:val="Normal1"/>
        <w:widowControl/>
        <w:numPr>
          <w:ilvl w:val="0"/>
          <w:numId w:val="1"/>
        </w:numPr>
        <w:bidi w:val="0"/>
        <w:spacing w:lineRule="auto" w:line="276"/>
        <w:ind w:left="449" w:right="0" w:hanging="360"/>
        <w:jc w:val="both"/>
        <w:rPr/>
      </w:pPr>
      <w:hyperlink r:id="rId44">
        <w:r>
          <w:rPr>
            <w:rStyle w:val="ListLabel82"/>
            <w:rFonts w:eastAsia="Times New Roman" w:cs="Times New Roman" w:ascii="Times New Roman" w:hAnsi="Times New Roman"/>
            <w:color w:val="1155CC"/>
            <w:sz w:val="28"/>
            <w:szCs w:val="28"/>
            <w:u w:val="single"/>
          </w:rPr>
          <w:t>https://www.publish.csiro.au/an/AN20525</w:t>
        </w:r>
      </w:hyperlink>
      <w:r>
        <w:rPr>
          <w:rFonts w:eastAsia="Times New Roman" w:cs="Times New Roman" w:ascii="Times New Roman" w:hAnsi="Times New Roman"/>
          <w:sz w:val="28"/>
          <w:szCs w:val="28"/>
        </w:rPr>
        <w:t xml:space="preserve"> (Campbell D. L. M., Marini D., Lea J. M., Keshavarzi H., Dyall T. R., Lee C. (2021) The application of virtual fencing technology effectively herds cattle and sheep. Animal Production Science 61, 1393-1402.)</w:t>
      </w:r>
    </w:p>
    <w:p>
      <w:pPr>
        <w:pStyle w:val="Normal1"/>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72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1"/>
        <w:jc w:val="both"/>
        <w:rPr/>
      </w:pPr>
      <w:r>
        <w:rPr/>
      </w:r>
    </w:p>
    <w:sectPr>
      <w:type w:val="nextPage"/>
      <w:pgSz w:w="11906" w:h="16838"/>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Arial">
    <w:charset w:val="cc"/>
    <w:family w:val="roman"/>
    <w:pitch w:val="variable"/>
  </w:font>
  <w:font w:name="Arial">
    <w:charset w:val="cc"/>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360"/>
      </w:pPr>
      <w:rPr>
        <w:sz w:val="28"/>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stLabel1">
    <w:name w:val="ListLabel 1"/>
    <w:qFormat/>
    <w:rPr>
      <w:rFonts w:ascii="Times New Roman" w:hAnsi="Times New Roman"/>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8"/>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sz w:val="28"/>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sz w:val="28"/>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sz w:val="28"/>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Times New Roman" w:hAnsi="Times New Roman"/>
      <w:sz w:val="28"/>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sz w:val="28"/>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imes New Roman" w:hAnsi="Times New Roman" w:eastAsia="Times New Roman" w:cs="Times New Roman"/>
      <w:color w:val="1155CC"/>
      <w:sz w:val="28"/>
      <w:szCs w:val="28"/>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1"/>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LOnormal">
    <w:name w:val="LO-normal"/>
    <w:qFormat/>
    <w:pPr>
      <w:widowControl/>
      <w:overflowPunct w:val="false"/>
      <w:bidi w:val="0"/>
      <w:spacing w:lineRule="auto" w:line="276"/>
      <w:jc w:val="left"/>
    </w:pPr>
    <w:rPr>
      <w:rFonts w:ascii="Arial" w:hAnsi="Arial" w:eastAsia="Arial" w:cs="Arial"/>
      <w:color w:val="auto"/>
      <w:kern w:val="0"/>
      <w:sz w:val="22"/>
      <w:szCs w:val="22"/>
      <w:lang w:val="en-US" w:eastAsia="zh-CN" w:bidi="hi-IN"/>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atentimages.storage.googleapis.com/0f/1c/e5/a6f29caee180f6/US20070288249A1.pdf" TargetMode="External"/><Relationship Id="rId3" Type="http://schemas.openxmlformats.org/officeDocument/2006/relationships/hyperlink" Target="https://patentscope.wipo.int/search/en/detail.jsf?docId=WO2020129056" TargetMode="External"/><Relationship Id="rId4" Type="http://schemas.openxmlformats.org/officeDocument/2006/relationships/hyperlink" Target="https://patentscope.wipo.int/search/ru/detail.jsf?docId=RU305244190&amp;_cid=P12-L2AAV7-37292-1" TargetMode="External"/><Relationship Id="rId5" Type="http://schemas.openxmlformats.org/officeDocument/2006/relationships/hyperlink" Target="https://patentscope.wipo.int/search/ru/detail.jsf?docId=RU97347769&amp;_cid=P12-L2AAV7-37292-1" TargetMode="External"/><Relationship Id="rId6" Type="http://schemas.openxmlformats.org/officeDocument/2006/relationships/hyperlink" Target="https://findpatent.ru/patent/271/2711806.html" TargetMode="External"/><Relationship Id="rId7" Type="http://schemas.openxmlformats.org/officeDocument/2006/relationships/hyperlink" Target="https://findpatent.ru/patent/270/2704851.html" TargetMode="External"/><Relationship Id="rId8" Type="http://schemas.openxmlformats.org/officeDocument/2006/relationships/hyperlink" Target="https://findpatent.ru/patent/271/2714735.html" TargetMode="External"/><Relationship Id="rId9" Type="http://schemas.openxmlformats.org/officeDocument/2006/relationships/hyperlink" Target="https://patenton.ru/patent/RU2645343C1" TargetMode="External"/><Relationship Id="rId10" Type="http://schemas.openxmlformats.org/officeDocument/2006/relationships/hyperlink" Target="https://findpatent.ru/patent/267/2675511.html" TargetMode="External"/><Relationship Id="rId11" Type="http://schemas.openxmlformats.org/officeDocument/2006/relationships/hyperlink" Target="https://findpatent.ru/patent/261/2614813.html" TargetMode="External"/><Relationship Id="rId12" Type="http://schemas.openxmlformats.org/officeDocument/2006/relationships/hyperlink" Target="https://findpatent.ru/patent/237/2379883.html" TargetMode="External"/><Relationship Id="rId13" Type="http://schemas.openxmlformats.org/officeDocument/2006/relationships/hyperlink" Target="https://patentscope.wipo.int/search/ru/detail.jsf?docId=RU92375087&amp;_cid=P12-L2AAV7-37292-1" TargetMode="External"/><Relationship Id="rId14" Type="http://schemas.openxmlformats.org/officeDocument/2006/relationships/hyperlink" Target="https://patentscope.wipo.int/search/ru/detail.jsf?docId=RU92375087&amp;_cid=P12-L2AAV7-37292-1" TargetMode="External"/><Relationship Id="rId15" Type="http://schemas.openxmlformats.org/officeDocument/2006/relationships/hyperlink" Target="https://patentscope.wipo.int/search/ru/detail.jsf?docId=RU92334303&amp;_cid=P12-L2AAV7-37292-1" TargetMode="External"/><Relationship Id="rId16" Type="http://schemas.openxmlformats.org/officeDocument/2006/relationships/hyperlink" Target="https://worldwide.espacenet.com/patent/search/family/069405002/publication/US2020045931A1?q=pn%3DUS2020045931A1" TargetMode="External"/><Relationship Id="rId17" Type="http://schemas.openxmlformats.org/officeDocument/2006/relationships/hyperlink" Target="https://worldwide.espacenet.com/patent/search/family/075108758/publication/RS20201177A1?q=pn%3DRS20201177A1" TargetMode="External"/><Relationship Id="rId18" Type="http://schemas.openxmlformats.org/officeDocument/2006/relationships/hyperlink" Target="https://worldwide.espacenet.com/patent/search/family/067847732/publication/US2021267161A1?q=pn%3DUS2021267161A1" TargetMode="External"/><Relationship Id="rId19" Type="http://schemas.openxmlformats.org/officeDocument/2006/relationships/hyperlink" Target="https://worldwide.espacenet.com/patent/search/family/065678951/publication/RU187419U1?q=pn%3DRU187419U1" TargetMode="External"/><Relationship Id="rId20" Type="http://schemas.openxmlformats.org/officeDocument/2006/relationships/hyperlink" Target="https://worldwide.espacenet.com/patent/search/family/068617985/publication/US2020128785A1?q=pn%3DUS2020128785A1" TargetMode="External"/><Relationship Id="rId21" Type="http://schemas.openxmlformats.org/officeDocument/2006/relationships/hyperlink" Target="https://www.sciencedirect.com/science/article/pii/S0022030221004811" TargetMode="External"/><Relationship Id="rId22" Type="http://schemas.openxmlformats.org/officeDocument/2006/relationships/hyperlink" Target="https://www.mdpi.com/2076-2615/9/7/429" TargetMode="External"/><Relationship Id="rId23" Type="http://schemas.openxmlformats.org/officeDocument/2006/relationships/hyperlink" Target="https://www.sciencedirect.com/science/article/pii/S002203022100480X" TargetMode="External"/><Relationship Id="rId24" Type="http://schemas.openxmlformats.org/officeDocument/2006/relationships/hyperlink" Target="https://www.sciencedirect.com/science/article/abs/pii/S0168169919309445" TargetMode="External"/><Relationship Id="rId25" Type="http://schemas.openxmlformats.org/officeDocument/2006/relationships/hyperlink" Target="https://www.frontiersin.org/articles/10.3389/fvets.2019.00445/full" TargetMode="External"/><Relationship Id="rId26" Type="http://schemas.openxmlformats.org/officeDocument/2006/relationships/hyperlink" Target="https://www.publish.csiro.au/an/AN21459" TargetMode="External"/><Relationship Id="rId27" Type="http://schemas.openxmlformats.org/officeDocument/2006/relationships/hyperlink" Target="https://worldwide.espacenet.com/patent/search/family/044304457/publication/US2013008391A1?q=pn%3DUS2013008391A1" TargetMode="External"/><Relationship Id="rId28" Type="http://schemas.openxmlformats.org/officeDocument/2006/relationships/hyperlink" Target="https://worldwide.espacenet.com/patent/search/family/057111158/publication/US10098324B2?q=pn%3DUS10098324B2" TargetMode="External"/><Relationship Id="rId29" Type="http://schemas.openxmlformats.org/officeDocument/2006/relationships/hyperlink" Target="https://worldwide.espacenet.com/patent/search/family/066546232/publication/KR20190048161A?q=pn%3DKR20190048161A" TargetMode="External"/><Relationship Id="rId30" Type="http://schemas.openxmlformats.org/officeDocument/2006/relationships/hyperlink" Target="https://worldwide.espacenet.com/patent/search/family/072708733/publication/KR102159319B1?q=pn%3DKR102159319B1" TargetMode="External"/><Relationship Id="rId31" Type="http://schemas.openxmlformats.org/officeDocument/2006/relationships/hyperlink" Target="https://worldwide.espacenet.com/patent/search/family/072110285/publication/CN111567441A?q=pn%3DCN111567441A" TargetMode="External"/><Relationship Id="rId32" Type="http://schemas.openxmlformats.org/officeDocument/2006/relationships/hyperlink" Target="https://worldwide.espacenet.com/patent/search/family/060577514/publication/CN109640640A?q=pn%3DCN109640640A" TargetMode="External"/><Relationship Id="rId33" Type="http://schemas.openxmlformats.org/officeDocument/2006/relationships/hyperlink" Target="https://worldwide.espacenet.com/patent/search/family/074661151/publication/WO2021033732A1?q=pn%3DWO2021033732A1" TargetMode="External"/><Relationship Id="rId34" Type="http://schemas.openxmlformats.org/officeDocument/2006/relationships/hyperlink" Target="https://worldwide.espacenet.com/patent/search/family/068295839/publication/US2021059213A1?q=pn%3DUS2021059213A1" TargetMode="External"/><Relationship Id="rId35" Type="http://schemas.openxmlformats.org/officeDocument/2006/relationships/hyperlink" Target="https://worldwide.espacenet.com/patent/search/family/078994872/publication/CN113869848A?q=pn%3DCN113869848A" TargetMode="External"/><Relationship Id="rId36" Type="http://schemas.openxmlformats.org/officeDocument/2006/relationships/hyperlink" Target="https://cyberleninka.ru/article/n/primenenie-dannyh-distantsionnogo-zondirovaniya-dlya-monitoringa-ispolzovaniya-zemel-selskohozyaystvennogo-naznacheniya" TargetMode="External"/><Relationship Id="rId37" Type="http://schemas.openxmlformats.org/officeDocument/2006/relationships/hyperlink" Target="https://cyberleninka.ru/article/n/effektivnost-ispolzovaniya-selskohozyaystvennyh-zemel-v-kazahstane" TargetMode="External"/><Relationship Id="rId38" Type="http://schemas.openxmlformats.org/officeDocument/2006/relationships/hyperlink" Target="https://cyberleninka.ru/article/n/tsifrovye-tehnologii-v-organizatsii-pastbischnogo-zhivotnovodstva" TargetMode="External"/><Relationship Id="rId39" Type="http://schemas.openxmlformats.org/officeDocument/2006/relationships/hyperlink" Target="https://www.journalofdairyscience.org/article/S0022-0302(21)00480-X/fulltext" TargetMode="External"/><Relationship Id="rId40" Type="http://schemas.openxmlformats.org/officeDocument/2006/relationships/hyperlink" Target="https://www.sciencedirect.com/science/article/pii/S0190052821000687" TargetMode="External"/><Relationship Id="rId41" Type="http://schemas.openxmlformats.org/officeDocument/2006/relationships/hyperlink" Target="https://academic.oup.com/jpe/article/9/6/649/2623732" TargetMode="External"/><Relationship Id="rId42" Type="http://schemas.openxmlformats.org/officeDocument/2006/relationships/hyperlink" Target="https://www.mdpi.com/1424-8220/19/7/1598" TargetMode="External"/><Relationship Id="rId43" Type="http://schemas.openxmlformats.org/officeDocument/2006/relationships/hyperlink" Target="https://www.mdpi.com/2076-2615/8/3/31" TargetMode="External"/><Relationship Id="rId44" Type="http://schemas.openxmlformats.org/officeDocument/2006/relationships/hyperlink" Target="https://www.publish.csiro.au/an/AN20525" TargetMode="Externa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Trio_Office/6.2.8.2$Windows_x86 LibreOffice_project/</Application>
  <Pages>30</Pages>
  <Words>3989</Words>
  <Characters>32262</Characters>
  <CharactersWithSpaces>35938</CharactersWithSpaces>
  <Paragraphs>367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2022-05-23T02:06:06Z</dcterms:modified>
  <cp:revision>7</cp:revision>
  <dc:subject/>
  <dc:title/>
</cp:coreProperties>
</file>