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REPORTE TÉCNICO</w:t>
      </w:r>
    </w:p>
    <w:p>
      <w:pPr>
        <w:spacing w:after="280"/>
        <w:jc w:val="center"/>
      </w:pPr>
      <w:r>
        <w:rPr>
          <w:rFonts w:ascii="Calibri" w:hAnsi="Calibri"/>
          <w:b/>
          <w:color w:val="203748"/>
          <w:sz w:val="60"/>
        </w:rPr>
        <w:t>Pipeline de observabilidad</w:t>
        <w:br/>
        <w:t>end-to-end con OpenTelemetry</w:t>
      </w:r>
    </w:p>
    <w:p>
      <w:pPr>
        <w:spacing w:after="1080"/>
        <w:jc w:val="center"/>
      </w:pPr>
      <w:r>
        <w:rPr>
          <w:rFonts w:ascii="Calibri" w:hAnsi="Calibri"/>
          <w:b w:val="0"/>
          <w:color w:val="1F4D78"/>
          <w:sz w:val="28"/>
        </w:rPr>
        <w:t>Docker local · GCP GKE · AWS ECS (placeholder)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SDK OTel y tres señales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Implementado y probado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Collector local y GCP GKE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Ejecutado con evidencia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Dashboard Grafana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 paneles con datos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IaC GCP/AWS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Helm y Terraform válidos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Benchmark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Mediciones reales incluidas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/>
          <w:b w:val="0"/>
          <w:color w:val="5B6573"/>
          <w:sz w:val="20"/>
        </w:rPr>
        <w:t>Actividad 2.2 · Docker + GCP GKE · 17 de agosto de 2026</w:t>
      </w:r>
    </w:p>
    <w:p>
      <w:r>
        <w:br w:type="page"/>
      </w:r>
    </w:p>
    <w:p>
      <w:pPr>
        <w:pStyle w:val="Heading1"/>
      </w:pPr>
      <w:r>
        <w:t>1. Objetivo y alcance</w:t>
      </w:r>
    </w:p>
    <w:p>
      <w:r>
        <w:rPr>
          <w:rFonts w:ascii="Calibri" w:hAnsi="Calibri"/>
          <w:sz w:val="22"/>
        </w:rPr>
        <w:t>El sistema captura trazas distribuidas, métricas y logs estructurados de dos microservicios. service-a recibe una orden, valida la entrada y llama por HTTP a service-b. service-b calcula el precio y realiza escritura y lectura en SQLite. El contexto W3C traceparent viaja en la llamada HTTP, por lo que los spans de ambos servicios forman una sola traza.</w:t>
      </w:r>
    </w:p>
    <w:p>
      <w:pPr>
        <w:pStyle w:val="Heading2"/>
      </w:pPr>
      <w:r>
        <w:t>Flujo de señales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96"/>
        <w:gridCol w:w="2448"/>
        <w:gridCol w:w="3240"/>
        <w:gridCol w:w="2376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Señal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Trazas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FastAPI, HTTPX, SQLite y spans custom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OTLP → Collector → Jaeger/X-Ray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Camino de una solicitud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Métricas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SDK OTel y runtime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Endpoint → Prometheus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SLIs y capacidad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Logs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logging JSON + OTLP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Collector → Loki/Cloud Logging/CloudWatch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Eventos con trace_id</w:t>
            </w:r>
          </w:p>
        </w:tc>
      </w:tr>
    </w:tbl>
    <w:p>
      <w:pPr>
        <w:spacing w:after="40"/>
      </w:pPr>
    </w:p>
    <w:p>
      <w:pPr>
        <w:pStyle w:val="Heading2"/>
      </w:pPr>
      <w:r>
        <w:t>Criterios de éxito</w:t>
      </w:r>
    </w:p>
    <w:p>
      <w:r>
        <w:rPr>
          <w:rFonts w:ascii="Calibri" w:hAnsi="Calibri"/>
          <w:sz w:val="22"/>
        </w:rPr>
        <w:t>Una solicitud debe mostrar spans padre-hijo en service-a y service-b, un span de base de datos y el mismo trace_id en los logs. Prometheus debe marcar todos los targets como UP; el dashboard debe mostrar tráfico, p99, errores, disponibilidad, CPU y errores del Collector.</w:t>
      </w:r>
    </w:p>
    <w:p>
      <w:r>
        <w:br w:type="page"/>
      </w:r>
    </w:p>
    <w:p>
      <w:pPr>
        <w:pStyle w:val="Heading1"/>
      </w:pPr>
      <w:r>
        <w:t>2. Instrumentación con OpenTelemetry</w:t>
      </w:r>
    </w:p>
    <w:p>
      <w:r>
        <w:rPr>
          <w:rFonts w:ascii="Calibri" w:hAnsi="Calibri"/>
          <w:sz w:val="22"/>
        </w:rPr>
        <w:t>La aplicación usa FastAPI y el SDK de Python. FastAPIInstrumentor crea spans de servidor; HTTPXClientInstrumentor crea spans de cliente e inyecta Trace Context; el instrumentador SQLite registra operaciones de base de datos mediante cursores instrumentados. Los spans validate-order y calculate-price representan lógica crítica.</w:t>
      </w:r>
    </w:p>
    <w:p>
      <w:pPr>
        <w:pStyle w:val="Heading2"/>
      </w:pPr>
      <w:r>
        <w:t>Diseño de logs</w:t>
      </w:r>
    </w:p>
    <w:p>
      <w:r>
        <w:rPr>
          <w:rFonts w:ascii="Calibri" w:hAnsi="Calibri"/>
          <w:sz w:val="22"/>
        </w:rPr>
        <w:t>TraceJsonFormatter serializa timestamp, severidad, mensaje, service.name, deployment.environment, trace_id y span_id. El identificador se toma del span activo y se emite por stdout y OTLP. Esta estrategia permite usar trace_id como pivote desde Grafana Logs hacia Jaeger.</w:t>
      </w:r>
    </w:p>
    <w:p>
      <w:pPr>
        <w:pStyle w:val="Heading2"/>
      </w:pPr>
      <w:r>
        <w:t>Métricas y SLIs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744"/>
        <w:gridCol w:w="3672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Panel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Consulta conceptual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Throughput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rate(request_count)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Solicitudes por segundo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Latencia p99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histogram_quantile(0.99, …)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Cola larga percibida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Errores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5xx / total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Confiabilidad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Disponibilidad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avg(up)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Targets accesibles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CPU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rate(process_cpu_seconds_total)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Costo de cómputo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Collector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send_failed_*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Pérdida de telemetría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2"/>
        </w:rPr>
        <w:t>Se evita colocar order_id como etiqueta de métrica porque produciría alta cardinalidad; sí es apropiado como atributo de span.</w:t>
      </w:r>
    </w:p>
    <w:p>
      <w:r>
        <w:br w:type="page"/>
      </w:r>
    </w:p>
    <w:p>
      <w:pPr>
        <w:pStyle w:val="Heading1"/>
      </w:pPr>
      <w:r>
        <w:t>3. Collector y despliegues</w:t>
      </w:r>
    </w:p>
    <w:p>
      <w:r>
        <w:rPr>
          <w:rFonts w:ascii="Calibri" w:hAnsi="Calibri"/>
          <w:sz w:val="22"/>
        </w:rPr>
        <w:t>Los tres pipelines aplican memory_limiter antes de batch para proteger el proceso ante picos. resource normaliza atributos de plataforma y ambiente. batch reduce llamadas a los backends. OTLP se habilita por gRPC 4317 y HTTP 4318.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2592"/>
        <w:gridCol w:w="2592"/>
        <w:gridCol w:w="2592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Entorno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Trazas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Métricas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Logs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Local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Jaeger por OTLP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Prometheus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Loki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GCP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Jaeger + Cloud Trace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Prometheus + Cloud Monitoring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Cloud Logging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AWS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AWS X-Ray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Prometheus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CloudWatch Logs</w:t>
            </w:r>
          </w:p>
        </w:tc>
      </w:tr>
    </w:tbl>
    <w:p>
      <w:pPr>
        <w:spacing w:after="40"/>
      </w:pPr>
    </w:p>
    <w:p>
      <w:pPr>
        <w:pStyle w:val="Heading2"/>
      </w:pPr>
      <w:r>
        <w:t>GKE</w:t>
      </w:r>
    </w:p>
    <w:p>
      <w:r>
        <w:rPr>
          <w:rFonts w:ascii="Calibri" w:hAnsi="Calibri"/>
          <w:sz w:val="22"/>
        </w:rPr>
        <w:t>El chart crea namespace, Collector replicado, servicios y deployments. La ejecución real se realizó en un clúster temporal GKE Autopilot llamado otel-evidence, región us-central1, proyecto unisabana-kubernetes. Workload Identity vinculó la ServiceAccount de Kubernetes con una cuenta GCP con permisos mínimos de escritura de trazas, métricas y logs.</w:t>
      </w:r>
    </w:p>
    <w:p>
      <w:pPr>
        <w:pStyle w:val="Heading2"/>
      </w:pPr>
      <w:r>
        <w:t>ECS Fargate</w:t>
      </w:r>
    </w:p>
    <w:p>
      <w:r>
        <w:rPr>
          <w:rFonts w:ascii="Calibri" w:hAnsi="Calibri"/>
          <w:sz w:val="22"/>
        </w:rPr>
        <w:t>La tarea agrupa service-a, service-b y AWS Distro for OpenTelemetry como sidecar; localhost simplifica OTLP. La definición incluye roles para X-Ray y CloudWatch y carga la configuración versionada del Collector.</w:t>
      </w:r>
    </w:p>
    <w:p>
      <w:pPr>
        <w:pStyle w:val="Heading2"/>
      </w:pPr>
      <w:r>
        <w:t>Seguridad</w:t>
      </w:r>
    </w:p>
    <w:p>
      <w:r>
        <w:rPr>
          <w:rFonts w:ascii="Calibri" w:hAnsi="Calibri"/>
          <w:sz w:val="22"/>
        </w:rPr>
        <w:t>No se codifican credenciales. En cloud se usan identidades de workload, red privada, retención limitada y control de atributos. No deben registrarse tokens, datos personales ni cuerpos completos.</w:t>
      </w:r>
    </w:p>
    <w:p>
      <w:pPr>
        <w:pStyle w:val="Heading1"/>
      </w:pPr>
      <w:r>
        <w:t>4. Correlación y operación</w:t>
      </w:r>
    </w:p>
    <w:p>
      <w:r>
        <w:rPr>
          <w:rFonts w:ascii="Calibri" w:hAnsi="Calibri"/>
          <w:sz w:val="22"/>
        </w:rPr>
        <w:t>El procedimiento de diagnóstico parte de un SLI degradado, selecciona una ventana temporal, abre una traza lenta, identifica el span dominante y busca su trace_id en logs. Esta navegación conecta el síntoma cuantitativo con la ejecución concreta.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4032"/>
        <w:gridCol w:w="3168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GET /orders/demo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HTTP 200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Verificado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Jaeger service-a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Traza A → B → SQLite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 spans; 2 servicios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Logs por trace_id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Mismo ID que Jaeger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Verificado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Prometheus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Todos los targets UP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4/4 UP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Dashboard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Seis paneles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1"/>
      </w:pPr>
      <w:r>
        <w:t>5. Evidencia visual de ejecución local</w:t>
      </w:r>
    </w:p>
    <w:p>
      <w:r>
        <w:drawing>
          <wp:inline xmlns:a="http://schemas.openxmlformats.org/drawingml/2006/main" xmlns:pic="http://schemas.openxmlformats.org/drawingml/2006/picture">
            <wp:extent cx="4572000" cy="43654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eger-trace-comple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6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i/>
          <w:color w:val="5B6573"/>
          <w:sz w:val="18"/>
        </w:rPr>
        <w:t>Figura 1. Jaeger: traza distribuida de service-a a service-b.</w:t>
      </w:r>
    </w:p>
    <w:p>
      <w:r>
        <w:drawing>
          <wp:inline xmlns:a="http://schemas.openxmlformats.org/drawingml/2006/main" xmlns:pic="http://schemas.openxmlformats.org/drawingml/2006/picture">
            <wp:extent cx="4937760" cy="5817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dashboard-6-pane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817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i/>
          <w:color w:val="5B6573"/>
          <w:sz w:val="18"/>
        </w:rPr>
        <w:t>Figura 2. Grafana: dashboard con cuatro SLIs, CPU y errores del Collector.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943600" cy="33453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logs-trace-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i/>
          <w:color w:val="5B6573"/>
          <w:sz w:val="18"/>
        </w:rPr>
        <w:t>Figura 3. Grafana Logs Drilldown: líneas JSON con trace_id y span_id.</w:t>
      </w:r>
    </w:p>
    <w:p>
      <w:r>
        <w:rPr>
          <w:rFonts w:ascii="Calibri" w:hAnsi="Calibri"/>
          <w:sz w:val="22"/>
        </w:rPr>
        <w:t>Las evidencias fueron obtenidas del stack Docker local con siete contenedores activos. Jaeger registró trazas de 12 spans con operaciones HTTP, validate-order, calculate-price, CREATE, INSERT y SELECT.</w:t>
      </w:r>
    </w:p>
    <w:p>
      <w:r>
        <w:br w:type="page"/>
      </w:r>
    </w:p>
    <w:p>
      <w:pPr>
        <w:pStyle w:val="Heading1"/>
      </w:pPr>
      <w:r>
        <w:t>6. Evidencia de ejecución real en GCP GKE</w:t>
      </w:r>
    </w:p>
    <w:p>
      <w:r>
        <w:rPr>
          <w:rFonts w:ascii="Calibri" w:hAnsi="Calibri"/>
          <w:sz w:val="22"/>
        </w:rPr>
        <w:t>Se desplegaron ocho pods en GKE Autopilot: service-a, service-b, dos réplicas del OTel Collector, Jaeger, Prometheus, Loki y Grafana. Se generaron 70 solicitudes HTTP exitosas. El ambiente se marcó como gcp-gke y los recursos temporales se eliminaron después de recolectar la evidencia para detener cargos.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88"/>
        <w:gridCol w:w="5472"/>
      </w:tblGrid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Comprobación cloud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Pods GKE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8/8 Running; 0 reinicios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Traza distribuida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 spans; service-a + service-b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Prometheus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 targets UP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Grafana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 paneles; disponibilidad 100 %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Cloud Logging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40 eventos OTLP correlacionados con Cloud Trace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p-gke-jaeger-tr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i/>
          <w:color w:val="5B6573"/>
          <w:sz w:val="18"/>
        </w:rPr>
        <w:t>Figura 4. GCP GKE: traza completa en Jaeger con dos servicios y 12 spans.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47729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p-gke-grafana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72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i/>
          <w:color w:val="5B6573"/>
          <w:sz w:val="18"/>
        </w:rPr>
        <w:t>Figura 5. GCP GKE: Grafana con cuatro SLIs, CPU y errores del Collector.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p-gke-grafana-logs-trace-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i/>
          <w:color w:val="5B6573"/>
          <w:sz w:val="18"/>
        </w:rPr>
        <w:t>Figura 6. GCP GKE: logs estructurados en Grafana Explore con trace_id y span_id.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p-cloud-logging-trace-corre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i/>
          <w:color w:val="5B6573"/>
          <w:sz w:val="18"/>
        </w:rPr>
        <w:t>Figura 7. Cloud Logging: registros OTLP de ambos servicios con vínculo nativo a Cloud Trace.</w:t>
      </w:r>
    </w:p>
    <w:p>
      <w:r>
        <w:rPr>
          <w:rFonts w:ascii="Calibri" w:hAnsi="Calibri"/>
          <w:sz w:val="22"/>
        </w:rPr>
        <w:t>La traza de referencia 1cc2dbbec24fb00661a6f52e206bc38a contiene GET /orders/{order_id}, validate-order, llamada HTTP a service-b, calculate-price y operaciones SQLite CREATE, INSERT y SELECT. Cloud Logging recibió los registros bajo opentelemetry.io/collector-exported-log y conservó el mismo trace_id como campo y como vínculo de traza.</w:t>
      </w:r>
    </w:p>
    <w:p>
      <w:pPr>
        <w:pStyle w:val="Heading1"/>
      </w:pPr>
      <w:r>
        <w:t>7. AWS ECS Fargate - placeholder de evidencia</w:t>
      </w:r>
    </w:p>
    <w:p>
      <w:pPr>
        <w:spacing w:before="120" w:after="200"/>
        <w:shd w:fill="FFF4CE"/>
      </w:pPr>
      <w:r>
        <w:rPr>
          <w:rFonts w:ascii="Calibri" w:hAnsi="Calibri"/>
          <w:b/>
          <w:color w:val="1F4D78"/>
          <w:sz w:val="22"/>
        </w:rPr>
        <w:t xml:space="preserve">Pendiente de ejecución autorizada: </w:t>
      </w:r>
      <w:r>
        <w:rPr>
          <w:rFonts w:ascii="Calibri" w:hAnsi="Calibri"/>
          <w:sz w:val="22"/>
        </w:rPr>
        <w:t>Esta sección reserva el espacio para capturas reales de AWS. No se presenta evidencia simulada. El Terraform, la configuración del Collector y los roles de referencia están versionados; la ejecución requiere una cuenta AWS con facturación e IAM autorizados.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5616"/>
      </w:tblGrid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 AWS pendiente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ECS Service / Tasks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Tasks de service-a, service-b y ADOT en RUNNING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AWS X-Ray o Tempo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Traza end-to-end con propagación W3C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CloudWatch Logs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Logs JSON de ambos servicios con el mismo trace_id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Prometheus / Grafana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Cuatro SLIs, CPU y errores del Collector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Limpieza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Servicios y recursos facturables eliminados al terminar</w:t>
            </w:r>
          </w:p>
        </w:tc>
      </w:tr>
    </w:tbl>
    <w:p>
      <w:pPr>
        <w:spacing w:after="40"/>
      </w:pPr>
    </w:p>
    <w:p>
      <w:pPr>
        <w:pStyle w:val="Heading1"/>
      </w:pPr>
      <w:r>
        <w:t>8. Análisis de overhead</w:t>
      </w:r>
    </w:p>
    <w:p>
      <w:r>
        <w:rPr>
          <w:rFonts w:ascii="Calibri" w:hAnsi="Calibri"/>
          <w:sz w:val="22"/>
        </w:rPr>
        <w:t>Se ejecutaron dos condiciones con las mismas imágenes, 20 usuarios virtuales y 60 segundos. Baseline usó OTEL_SDK_DISABLED=true y la segunda condición habilitó OTel. k6 midió latencia y throughput; docker stats tomó 14 muestras de CPU y memoria conjunta por condición.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1800"/>
        <w:gridCol w:w="1728"/>
        <w:gridCol w:w="2088"/>
        <w:gridCol w:w="1656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p99 (ms)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CPU (%)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Memoria (MiB)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req/s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Sin instrumentación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545.23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78.28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150.67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98.61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Con OTel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559.52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88.39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145.55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93.49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18"/>
              </w:rPr>
              <w:t>Diferencia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+14.29 (+2.62%)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+10.11 (+12.91%)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-5.12 (-3.40%)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-5.12 (-5.19%)</w:t>
            </w:r>
          </w:p>
        </w:tc>
      </w:tr>
    </w:tbl>
    <w:p>
      <w:pPr>
        <w:spacing w:after="40"/>
      </w:pPr>
    </w:p>
    <w:p>
      <w:pPr>
        <w:pStyle w:val="Heading2"/>
      </w:pPr>
      <w:r>
        <w:t>Interpretación</w:t>
      </w:r>
    </w:p>
    <w:p>
      <w:r>
        <w:rPr>
          <w:rFonts w:ascii="Calibri" w:hAnsi="Calibri"/>
          <w:sz w:val="22"/>
        </w:rPr>
        <w:t>En esta corrida, OTel añadió 14.29 ms al p99 y elevó el uso conjunto de CPU en 12.91%. El throughput bajó 5.19%. La memoria observada fue 5.12 MiB menor con OTel; esta variación debe interpretarse como ruido de asignación, caché y recolección de basura. No hubo errores HTTP en ninguna condición.</w:t>
      </w:r>
    </w:p>
    <w:p>
      <w:pPr>
        <w:pStyle w:val="Heading2"/>
      </w:pPr>
      <w:r>
        <w:t>Amenazas a la validez</w:t>
      </w:r>
    </w:p>
    <w:p>
      <w:r>
        <w:rPr>
          <w:rFonts w:ascii="Calibri" w:hAnsi="Calibri"/>
          <w:sz w:val="22"/>
        </w:rPr>
        <w:t>Los resultados corresponden a una sola pareja de corridas en Docker Desktop. Cold starts, caché SQLite, recolección de basura y contención del host afectan la medición. Para una conclusión estadística se recomiendan tres repeticiones alternadas y comparación de medianas.</w:t>
      </w:r>
    </w:p>
    <w:p>
      <w:pPr>
        <w:pStyle w:val="Heading1"/>
      </w:pPr>
      <w:r>
        <w:t>9. Decisiones de diseño</w:t>
      </w:r>
    </w:p>
    <w:p>
      <w:pPr>
        <w:pStyle w:val="ListBullet"/>
      </w:pPr>
      <w:r>
        <w:t>Python facilita la lectura académica y dispone de auto-instrumentación madura para FastAPI, HTTPX y SQLite.</w:t>
      </w:r>
    </w:p>
    <w:p>
      <w:pPr>
        <w:pStyle w:val="ListBullet"/>
      </w:pPr>
      <w:r>
        <w:t>OTLP desacopla las aplicaciones de los backends y permite cambiar destinos en el Collector.</w:t>
      </w:r>
    </w:p>
    <w:p>
      <w:pPr>
        <w:pStyle w:val="ListBullet"/>
      </w:pPr>
      <w:r>
        <w:t>memory_limiter y batch controlan presión de memoria y reducen el costo de exportación.</w:t>
      </w:r>
    </w:p>
    <w:p>
      <w:pPr>
        <w:pStyle w:val="ListBullet"/>
      </w:pPr>
      <w:r>
        <w:t>Jaeger satisface la inspección de trazas; Prometheus y Grafana soportan SLIs; Loki habilita correlación local.</w:t>
      </w:r>
    </w:p>
    <w:p>
      <w:pPr>
        <w:pStyle w:val="ListBullet"/>
      </w:pPr>
      <w:r>
        <w:t>El rol anónimo Editor de Grafana se usa solo en la demostración local para permitir Logs Drilldown sin login.</w:t>
      </w:r>
    </w:p>
    <w:p>
      <w:pPr>
        <w:pStyle w:val="Heading1"/>
      </w:pPr>
      <w:r>
        <w:t>10. Reproducción</w:t>
      </w:r>
    </w:p>
    <w:p>
      <w:pPr>
        <w:pStyle w:val="ListNumber"/>
      </w:pPr>
      <w:r>
        <w:t>Ejecutar docker compose up --build -d.</w:t>
      </w:r>
    </w:p>
    <w:p>
      <w:pPr>
        <w:pStyle w:val="ListNumber"/>
      </w:pPr>
      <w:r>
        <w:t>Ejecutar scripts/smoke-test.sh para generar tráfico.</w:t>
      </w:r>
    </w:p>
    <w:p>
      <w:pPr>
        <w:pStyle w:val="ListNumber"/>
      </w:pPr>
      <w:r>
        <w:t>Validar los cuatro targets en Prometheus.</w:t>
      </w:r>
    </w:p>
    <w:p>
      <w:pPr>
        <w:pStyle w:val="ListNumber"/>
      </w:pPr>
      <w:r>
        <w:t>Abrir Jaeger y buscar service-a.</w:t>
      </w:r>
    </w:p>
    <w:p>
      <w:pPr>
        <w:pStyle w:val="ListNumber"/>
      </w:pPr>
      <w:r>
        <w:t>Abrir el dashboard Microservicios - SLIs y Collector en Grafana.</w:t>
      </w:r>
    </w:p>
    <w:p>
      <w:pPr>
        <w:pStyle w:val="ListNumber"/>
      </w:pPr>
      <w:r>
        <w:t>Ejecutar benchmark/run.sh y conservar los resultados.</w:t>
      </w:r>
    </w:p>
    <w:p>
      <w:pPr>
        <w:pStyle w:val="Heading1"/>
      </w:pPr>
      <w:r>
        <w:t>11. Conclusión</w:t>
      </w:r>
    </w:p>
    <w:p>
      <w:r>
        <w:rPr>
          <w:rFonts w:ascii="Calibri" w:hAnsi="Calibri"/>
          <w:sz w:val="22"/>
        </w:rPr>
        <w:t>El diseño integra los tres pilares y conserva el contexto entre servicios. La combinación de SLIs, trazas y logs correlacionados permite pasar de una alerta a la causa probable. El stack local, el benchmark y GCP GKE fueron ejecutados con evidencia real. AWS ECS permanece como IaC validada y placeholder explícito, pendiente de una ejecución autorizada que no debe sustituirse con capturas simuladas.</w:t>
      </w:r>
    </w:p>
    <w:p>
      <w:pPr>
        <w:pStyle w:val="Heading1"/>
      </w:pPr>
      <w:r>
        <w:t>Referencias</w:t>
      </w:r>
    </w:p>
    <w:p>
      <w:pPr>
        <w:pStyle w:val="ListBullet"/>
      </w:pPr>
      <w:r>
        <w:t>OpenTelemetry Python SDK. https://opentelemetry-python.readthedocs.io/</w:t>
      </w:r>
    </w:p>
    <w:p>
      <w:pPr>
        <w:pStyle w:val="ListBullet"/>
      </w:pPr>
      <w:r>
        <w:t>Jaeger Architecture. https://www.jaegertracing.io/docs/architecture/</w:t>
      </w:r>
    </w:p>
    <w:p>
      <w:pPr>
        <w:pStyle w:val="ListBullet"/>
      </w:pPr>
      <w:r>
        <w:t>Grafana Trace Integration. https://grafana.com/docs/grafana/latest/explore/trace-integration/</w:t>
      </w:r>
    </w:p>
    <w:p>
      <w:pPr>
        <w:pStyle w:val="ListBullet"/>
      </w:pPr>
      <w:r>
        <w:t>Grafana k6 Documentation. https://grafana.com/docs/k6/</w:t>
      </w:r>
    </w:p>
    <w:p>
      <w:pPr>
        <w:pStyle w:val="ListBullet"/>
      </w:pPr>
      <w:r>
        <w:t>W3C Trace Context. https://www.w3.org/TR/trace-context/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B6573"/>
        <w:sz w:val="18"/>
      </w:rPr>
      <w:t xml:space="preserve">Página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573"/>
        <w:sz w:val="18"/>
      </w:rPr>
      <w:t>OBSERVABILIDAD END-TO-END  |  ACTIVIDAD 2.2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técnico OpenTelemetry</dc:title>
  <dc:subject>Actividad 2.2 - Observabilidad end-to-end</dc:subject>
  <dc:creator>Equipo - Actividad 2.2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