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9E9" w:rsidRPr="00AA55B8" w:rsidRDefault="00AA55B8" w:rsidP="00AA55B8">
      <w:pPr>
        <w:pStyle w:val="Title"/>
        <w:pBdr>
          <w:bottom w:val="single" w:sz="8" w:space="1" w:color="4F81BD" w:themeColor="accent1"/>
        </w:pBdr>
        <w:jc w:val="center"/>
        <w:rPr>
          <w:rFonts w:ascii="Arial" w:hAnsi="Arial" w:cs="Arial"/>
          <w:color w:val="000000" w:themeColor="text1"/>
        </w:rPr>
      </w:pPr>
      <w:r w:rsidRPr="00AA55B8">
        <w:rPr>
          <w:rFonts w:ascii="Arial" w:hAnsi="Arial" w:cs="Arial"/>
          <w:color w:val="000000" w:themeColor="text1"/>
        </w:rPr>
        <w:t>Business Summary Report: Predictive Insights for Collections Strategy</w:t>
      </w:r>
    </w:p>
    <w:p w:rsidR="009A79E9" w:rsidRPr="00AA55B8" w:rsidRDefault="00AA55B8">
      <w:pPr>
        <w:pStyle w:val="Heading1"/>
        <w:rPr>
          <w:rFonts w:ascii="Arial" w:hAnsi="Arial" w:cs="Arial"/>
          <w:color w:val="000000" w:themeColor="text1"/>
        </w:rPr>
      </w:pPr>
      <w:r w:rsidRPr="00AA55B8">
        <w:rPr>
          <w:rFonts w:ascii="Arial" w:hAnsi="Arial" w:cs="Arial"/>
          <w:color w:val="000000" w:themeColor="text1"/>
        </w:rPr>
        <w:t>1. Summary of Predictive Insights</w:t>
      </w:r>
    </w:p>
    <w:p w:rsidR="009A79E9" w:rsidRPr="00AA55B8" w:rsidRDefault="00AA55B8">
      <w:pPr>
        <w:rPr>
          <w:rFonts w:ascii="Arial" w:hAnsi="Arial" w:cs="Arial"/>
          <w:color w:val="000000" w:themeColor="text1"/>
        </w:rPr>
      </w:pPr>
      <w:r w:rsidRPr="00AA55B8">
        <w:rPr>
          <w:rFonts w:ascii="Arial" w:hAnsi="Arial" w:cs="Arial"/>
          <w:color w:val="000000" w:themeColor="text1"/>
        </w:rPr>
        <w:br/>
        <w:t>Based on the EDA (Task 1) and the predictive modeling plan (Task 2), the following insights were observed</w:t>
      </w:r>
      <w:proofErr w:type="gramStart"/>
      <w:r w:rsidRPr="00AA55B8">
        <w:rPr>
          <w:rFonts w:ascii="Arial" w:hAnsi="Arial" w:cs="Arial"/>
          <w:color w:val="000000" w:themeColor="text1"/>
        </w:rPr>
        <w:t>:</w:t>
      </w:r>
      <w:proofErr w:type="gramEnd"/>
      <w:r w:rsidRPr="00AA55B8">
        <w:rPr>
          <w:rFonts w:ascii="Arial" w:hAnsi="Arial" w:cs="Arial"/>
          <w:color w:val="000000" w:themeColor="text1"/>
        </w:rPr>
        <w:br/>
      </w:r>
      <w:r w:rsidRPr="00AA55B8">
        <w:rPr>
          <w:rFonts w:ascii="Arial" w:hAnsi="Arial" w:cs="Arial"/>
          <w:color w:val="000000" w:themeColor="text1"/>
        </w:rPr>
        <w:br/>
        <w:t>- Customers under 30 years old with two or</w:t>
      </w:r>
      <w:r w:rsidRPr="00AA55B8">
        <w:rPr>
          <w:rFonts w:ascii="Arial" w:hAnsi="Arial" w:cs="Arial"/>
          <w:color w:val="000000" w:themeColor="text1"/>
        </w:rPr>
        <w:t xml:space="preserve"> more missed payments and credit utilization above 50% show significantly higher risk of delinquency.</w:t>
      </w:r>
      <w:r w:rsidRPr="00AA55B8">
        <w:rPr>
          <w:rFonts w:ascii="Arial" w:hAnsi="Arial" w:cs="Arial"/>
          <w:color w:val="000000" w:themeColor="text1"/>
        </w:rPr>
        <w:br/>
        <w:t>- High debt-to-income ratio (&gt; 0.5) consistently correlates with late or missed payments.</w:t>
      </w:r>
      <w:r w:rsidRPr="00AA55B8">
        <w:rPr>
          <w:rFonts w:ascii="Arial" w:hAnsi="Arial" w:cs="Arial"/>
          <w:color w:val="000000" w:themeColor="text1"/>
        </w:rPr>
        <w:br/>
        <w:t>- Customers with short account tenure (&lt; 12 months) tend to have</w:t>
      </w:r>
      <w:r w:rsidRPr="00AA55B8">
        <w:rPr>
          <w:rFonts w:ascii="Arial" w:hAnsi="Arial" w:cs="Arial"/>
          <w:color w:val="000000" w:themeColor="text1"/>
        </w:rPr>
        <w:t xml:space="preserve"> weaker repayment behavior.</w:t>
      </w:r>
      <w:r w:rsidRPr="00AA55B8">
        <w:rPr>
          <w:rFonts w:ascii="Arial" w:hAnsi="Arial" w:cs="Arial"/>
          <w:color w:val="000000" w:themeColor="text1"/>
        </w:rPr>
        <w:br/>
      </w:r>
      <w:r w:rsidRPr="00AA55B8">
        <w:rPr>
          <w:rFonts w:ascii="Arial" w:hAnsi="Arial" w:cs="Arial"/>
          <w:color w:val="000000" w:themeColor="text1"/>
        </w:rPr>
        <w:br/>
        <w:t>Key Insights Summary Table:</w:t>
      </w:r>
      <w:r w:rsidRPr="00AA55B8">
        <w:rPr>
          <w:rFonts w:ascii="Arial" w:hAnsi="Arial" w:cs="Arial"/>
          <w:color w:val="000000" w:themeColor="text1"/>
        </w:rPr>
        <w:br/>
      </w:r>
    </w:p>
    <w:tbl>
      <w:tblPr>
        <w:tblW w:w="0" w:type="auto"/>
        <w:tblLook w:val="04A0"/>
      </w:tblPr>
      <w:tblGrid>
        <w:gridCol w:w="2160"/>
        <w:gridCol w:w="2160"/>
        <w:gridCol w:w="2160"/>
        <w:gridCol w:w="2160"/>
      </w:tblGrid>
      <w:tr w:rsidR="009A79E9" w:rsidRPr="00AA55B8">
        <w:tc>
          <w:tcPr>
            <w:tcW w:w="2160" w:type="dxa"/>
          </w:tcPr>
          <w:p w:rsidR="009A79E9" w:rsidRPr="00AA55B8" w:rsidRDefault="00AA55B8">
            <w:pPr>
              <w:rPr>
                <w:rFonts w:ascii="Arial" w:hAnsi="Arial" w:cs="Arial"/>
                <w:color w:val="000000" w:themeColor="text1"/>
              </w:rPr>
            </w:pPr>
            <w:r w:rsidRPr="00AA55B8">
              <w:rPr>
                <w:rFonts w:ascii="Arial" w:hAnsi="Arial" w:cs="Arial"/>
                <w:color w:val="000000" w:themeColor="text1"/>
              </w:rPr>
              <w:t>Key Insight</w:t>
            </w:r>
          </w:p>
        </w:tc>
        <w:tc>
          <w:tcPr>
            <w:tcW w:w="2160" w:type="dxa"/>
          </w:tcPr>
          <w:p w:rsidR="009A79E9" w:rsidRPr="00AA55B8" w:rsidRDefault="00AA55B8">
            <w:pPr>
              <w:rPr>
                <w:rFonts w:ascii="Arial" w:hAnsi="Arial" w:cs="Arial"/>
                <w:color w:val="000000" w:themeColor="text1"/>
              </w:rPr>
            </w:pPr>
            <w:r w:rsidRPr="00AA55B8">
              <w:rPr>
                <w:rFonts w:ascii="Arial" w:hAnsi="Arial" w:cs="Arial"/>
                <w:color w:val="000000" w:themeColor="text1"/>
              </w:rPr>
              <w:t>Customer Segment</w:t>
            </w:r>
          </w:p>
        </w:tc>
        <w:tc>
          <w:tcPr>
            <w:tcW w:w="2160" w:type="dxa"/>
          </w:tcPr>
          <w:p w:rsidR="009A79E9" w:rsidRPr="00AA55B8" w:rsidRDefault="00AA55B8">
            <w:pPr>
              <w:rPr>
                <w:rFonts w:ascii="Arial" w:hAnsi="Arial" w:cs="Arial"/>
                <w:color w:val="000000" w:themeColor="text1"/>
              </w:rPr>
            </w:pPr>
            <w:r w:rsidRPr="00AA55B8">
              <w:rPr>
                <w:rFonts w:ascii="Arial" w:hAnsi="Arial" w:cs="Arial"/>
                <w:color w:val="000000" w:themeColor="text1"/>
              </w:rPr>
              <w:t>Influencing Variables</w:t>
            </w:r>
          </w:p>
        </w:tc>
        <w:tc>
          <w:tcPr>
            <w:tcW w:w="2160" w:type="dxa"/>
          </w:tcPr>
          <w:p w:rsidR="009A79E9" w:rsidRPr="00AA55B8" w:rsidRDefault="00AA55B8">
            <w:pPr>
              <w:rPr>
                <w:rFonts w:ascii="Arial" w:hAnsi="Arial" w:cs="Arial"/>
                <w:color w:val="000000" w:themeColor="text1"/>
              </w:rPr>
            </w:pPr>
            <w:r w:rsidRPr="00AA55B8">
              <w:rPr>
                <w:rFonts w:ascii="Arial" w:hAnsi="Arial" w:cs="Arial"/>
                <w:color w:val="000000" w:themeColor="text1"/>
              </w:rPr>
              <w:t>Potential Impact</w:t>
            </w:r>
          </w:p>
        </w:tc>
      </w:tr>
      <w:tr w:rsidR="009A79E9" w:rsidRPr="00AA55B8">
        <w:tc>
          <w:tcPr>
            <w:tcW w:w="2160" w:type="dxa"/>
          </w:tcPr>
          <w:p w:rsidR="009A79E9" w:rsidRPr="00AA55B8" w:rsidRDefault="00AA55B8">
            <w:pPr>
              <w:rPr>
                <w:rFonts w:ascii="Arial" w:hAnsi="Arial" w:cs="Arial"/>
                <w:color w:val="000000" w:themeColor="text1"/>
              </w:rPr>
            </w:pPr>
            <w:r w:rsidRPr="00AA55B8">
              <w:rPr>
                <w:rFonts w:ascii="Arial" w:hAnsi="Arial" w:cs="Arial"/>
                <w:color w:val="000000" w:themeColor="text1"/>
              </w:rPr>
              <w:t>Customers with high credit utilization and frequent missed payments are at highest risk of delinquency.</w:t>
            </w:r>
          </w:p>
        </w:tc>
        <w:tc>
          <w:tcPr>
            <w:tcW w:w="2160" w:type="dxa"/>
          </w:tcPr>
          <w:p w:rsidR="009A79E9" w:rsidRPr="00AA55B8" w:rsidRDefault="00AA55B8">
            <w:pPr>
              <w:rPr>
                <w:rFonts w:ascii="Arial" w:hAnsi="Arial" w:cs="Arial"/>
                <w:color w:val="000000" w:themeColor="text1"/>
              </w:rPr>
            </w:pPr>
            <w:r w:rsidRPr="00AA55B8">
              <w:rPr>
                <w:rFonts w:ascii="Arial" w:hAnsi="Arial" w:cs="Arial"/>
                <w:color w:val="000000" w:themeColor="text1"/>
              </w:rPr>
              <w:t>Under 30 years old, 2+ mi</w:t>
            </w:r>
            <w:r w:rsidRPr="00AA55B8">
              <w:rPr>
                <w:rFonts w:ascii="Arial" w:hAnsi="Arial" w:cs="Arial"/>
                <w:color w:val="000000" w:themeColor="text1"/>
              </w:rPr>
              <w:t>ssed payments, high credit utilization (&gt; 50%)</w:t>
            </w:r>
          </w:p>
        </w:tc>
        <w:tc>
          <w:tcPr>
            <w:tcW w:w="2160" w:type="dxa"/>
          </w:tcPr>
          <w:p w:rsidR="009A79E9" w:rsidRPr="00AA55B8" w:rsidRDefault="00AA55B8">
            <w:pPr>
              <w:rPr>
                <w:rFonts w:ascii="Arial" w:hAnsi="Arial" w:cs="Arial"/>
                <w:color w:val="000000" w:themeColor="text1"/>
              </w:rPr>
            </w:pPr>
            <w:r w:rsidRPr="00AA55B8">
              <w:rPr>
                <w:rFonts w:ascii="Arial" w:hAnsi="Arial" w:cs="Arial"/>
                <w:color w:val="000000" w:themeColor="text1"/>
              </w:rPr>
              <w:t>Missed Payments, Credit Utilization, Age, Debt-to-Income Ratio</w:t>
            </w:r>
          </w:p>
        </w:tc>
        <w:tc>
          <w:tcPr>
            <w:tcW w:w="2160" w:type="dxa"/>
          </w:tcPr>
          <w:p w:rsidR="009A79E9" w:rsidRPr="00AA55B8" w:rsidRDefault="00AA55B8">
            <w:pPr>
              <w:rPr>
                <w:rFonts w:ascii="Arial" w:hAnsi="Arial" w:cs="Arial"/>
                <w:color w:val="000000" w:themeColor="text1"/>
              </w:rPr>
            </w:pPr>
            <w:r w:rsidRPr="00AA55B8">
              <w:rPr>
                <w:rFonts w:ascii="Arial" w:hAnsi="Arial" w:cs="Arial"/>
                <w:color w:val="000000" w:themeColor="text1"/>
              </w:rPr>
              <w:t>Targeted outreach could reduce 30-day delinquency rates by over 10% in this segment.</w:t>
            </w:r>
          </w:p>
        </w:tc>
      </w:tr>
    </w:tbl>
    <w:p w:rsidR="009A79E9" w:rsidRPr="00AA55B8" w:rsidRDefault="00AA55B8">
      <w:pPr>
        <w:pStyle w:val="Heading1"/>
        <w:rPr>
          <w:rFonts w:ascii="Arial" w:hAnsi="Arial" w:cs="Arial"/>
          <w:color w:val="000000" w:themeColor="text1"/>
        </w:rPr>
      </w:pPr>
      <w:r w:rsidRPr="00AA55B8">
        <w:rPr>
          <w:rFonts w:ascii="Arial" w:hAnsi="Arial" w:cs="Arial"/>
          <w:color w:val="000000" w:themeColor="text1"/>
        </w:rPr>
        <w:t>2. Recommendation Framework</w:t>
      </w:r>
    </w:p>
    <w:p w:rsidR="009A79E9" w:rsidRPr="00AA55B8" w:rsidRDefault="00AA55B8">
      <w:pPr>
        <w:rPr>
          <w:rFonts w:ascii="Arial" w:hAnsi="Arial" w:cs="Arial"/>
          <w:color w:val="000000" w:themeColor="text1"/>
        </w:rPr>
      </w:pPr>
      <w:r w:rsidRPr="00AA55B8">
        <w:rPr>
          <w:rFonts w:ascii="Arial" w:hAnsi="Arial" w:cs="Arial"/>
          <w:color w:val="000000" w:themeColor="text1"/>
        </w:rPr>
        <w:t>Restated Insight</w:t>
      </w:r>
      <w:proofErr w:type="gramStart"/>
      <w:r w:rsidRPr="00AA55B8">
        <w:rPr>
          <w:rFonts w:ascii="Arial" w:hAnsi="Arial" w:cs="Arial"/>
          <w:color w:val="000000" w:themeColor="text1"/>
        </w:rPr>
        <w:t>:</w:t>
      </w:r>
      <w:proofErr w:type="gramEnd"/>
      <w:r w:rsidRPr="00AA55B8">
        <w:rPr>
          <w:rFonts w:ascii="Arial" w:hAnsi="Arial" w:cs="Arial"/>
          <w:color w:val="000000" w:themeColor="text1"/>
        </w:rPr>
        <w:br/>
        <w:t>Customers unde</w:t>
      </w:r>
      <w:r w:rsidRPr="00AA55B8">
        <w:rPr>
          <w:rFonts w:ascii="Arial" w:hAnsi="Arial" w:cs="Arial"/>
          <w:color w:val="000000" w:themeColor="text1"/>
        </w:rPr>
        <w:t>r 30 with 2+ missed payments and credit utilization above 50% are at significantly high risk of delinquency.</w:t>
      </w:r>
      <w:r w:rsidRPr="00AA55B8">
        <w:rPr>
          <w:rFonts w:ascii="Arial" w:hAnsi="Arial" w:cs="Arial"/>
          <w:color w:val="000000" w:themeColor="text1"/>
        </w:rPr>
        <w:br/>
      </w:r>
    </w:p>
    <w:p w:rsidR="009A79E9" w:rsidRPr="00AA55B8" w:rsidRDefault="00AA55B8">
      <w:pPr>
        <w:rPr>
          <w:rFonts w:ascii="Arial" w:hAnsi="Arial" w:cs="Arial"/>
          <w:color w:val="000000" w:themeColor="text1"/>
        </w:rPr>
      </w:pPr>
      <w:r w:rsidRPr="00AA55B8">
        <w:rPr>
          <w:rFonts w:ascii="Arial" w:hAnsi="Arial" w:cs="Arial"/>
          <w:color w:val="000000" w:themeColor="text1"/>
        </w:rPr>
        <w:t>Proposed Recommendation</w:t>
      </w:r>
      <w:proofErr w:type="gramStart"/>
      <w:r w:rsidRPr="00AA55B8">
        <w:rPr>
          <w:rFonts w:ascii="Arial" w:hAnsi="Arial" w:cs="Arial"/>
          <w:color w:val="000000" w:themeColor="text1"/>
        </w:rPr>
        <w:t>:</w:t>
      </w:r>
      <w:proofErr w:type="gramEnd"/>
      <w:r w:rsidRPr="00AA55B8">
        <w:rPr>
          <w:rFonts w:ascii="Arial" w:hAnsi="Arial" w:cs="Arial"/>
          <w:color w:val="000000" w:themeColor="text1"/>
        </w:rPr>
        <w:br/>
        <w:t>Launch a 6-week SMS outreach campaign targeting these customers to reduce 30-day delinquency by at least 10%.</w:t>
      </w:r>
    </w:p>
    <w:p w:rsidR="009A79E9" w:rsidRPr="00AA55B8" w:rsidRDefault="00AA55B8">
      <w:pPr>
        <w:rPr>
          <w:rFonts w:ascii="Arial" w:hAnsi="Arial" w:cs="Arial"/>
          <w:color w:val="000000" w:themeColor="text1"/>
        </w:rPr>
      </w:pPr>
      <w:r w:rsidRPr="00AA55B8">
        <w:rPr>
          <w:rFonts w:ascii="Arial" w:hAnsi="Arial" w:cs="Arial"/>
          <w:color w:val="000000" w:themeColor="text1"/>
        </w:rPr>
        <w:lastRenderedPageBreak/>
        <w:t xml:space="preserve">  </w:t>
      </w:r>
      <w:r w:rsidRPr="00AA55B8">
        <w:rPr>
          <w:rFonts w:ascii="Arial" w:hAnsi="Arial" w:cs="Arial"/>
          <w:color w:val="000000" w:themeColor="text1"/>
        </w:rPr>
        <w:t>Specific</w:t>
      </w:r>
      <w:proofErr w:type="gramStart"/>
      <w:r w:rsidRPr="00AA55B8">
        <w:rPr>
          <w:rFonts w:ascii="Arial" w:hAnsi="Arial" w:cs="Arial"/>
          <w:color w:val="000000" w:themeColor="text1"/>
        </w:rPr>
        <w:t>:</w:t>
      </w:r>
      <w:proofErr w:type="gramEnd"/>
      <w:r w:rsidRPr="00AA55B8">
        <w:rPr>
          <w:rFonts w:ascii="Arial" w:hAnsi="Arial" w:cs="Arial"/>
          <w:color w:val="000000" w:themeColor="text1"/>
        </w:rPr>
        <w:br/>
        <w:t>Target customers under 30 with 2+ missed payments and high credit utilization.</w:t>
      </w:r>
    </w:p>
    <w:p w:rsidR="009A79E9" w:rsidRPr="00AA55B8" w:rsidRDefault="00AA55B8">
      <w:pPr>
        <w:rPr>
          <w:rFonts w:ascii="Arial" w:hAnsi="Arial" w:cs="Arial"/>
          <w:color w:val="000000" w:themeColor="text1"/>
        </w:rPr>
      </w:pPr>
      <w:r w:rsidRPr="00AA55B8">
        <w:rPr>
          <w:rFonts w:ascii="Arial" w:hAnsi="Arial" w:cs="Arial"/>
          <w:color w:val="000000" w:themeColor="text1"/>
        </w:rPr>
        <w:t xml:space="preserve">  </w:t>
      </w:r>
      <w:r w:rsidRPr="00AA55B8">
        <w:rPr>
          <w:rFonts w:ascii="Arial" w:hAnsi="Arial" w:cs="Arial"/>
          <w:color w:val="000000" w:themeColor="text1"/>
        </w:rPr>
        <w:t>Measurable</w:t>
      </w:r>
      <w:proofErr w:type="gramStart"/>
      <w:r w:rsidRPr="00AA55B8">
        <w:rPr>
          <w:rFonts w:ascii="Arial" w:hAnsi="Arial" w:cs="Arial"/>
          <w:color w:val="000000" w:themeColor="text1"/>
        </w:rPr>
        <w:t>:</w:t>
      </w:r>
      <w:proofErr w:type="gramEnd"/>
      <w:r w:rsidRPr="00AA55B8">
        <w:rPr>
          <w:rFonts w:ascii="Arial" w:hAnsi="Arial" w:cs="Arial"/>
          <w:color w:val="000000" w:themeColor="text1"/>
        </w:rPr>
        <w:br/>
        <w:t>Track reduction in 30-day delinquency; goal is a 10% decrease.</w:t>
      </w:r>
    </w:p>
    <w:p w:rsidR="009A79E9" w:rsidRPr="00AA55B8" w:rsidRDefault="00AA55B8">
      <w:pPr>
        <w:rPr>
          <w:rFonts w:ascii="Arial" w:hAnsi="Arial" w:cs="Arial"/>
          <w:color w:val="000000" w:themeColor="text1"/>
        </w:rPr>
      </w:pPr>
      <w:r w:rsidRPr="00AA55B8">
        <w:rPr>
          <w:rFonts w:ascii="Arial" w:hAnsi="Arial" w:cs="Arial"/>
          <w:color w:val="000000" w:themeColor="text1"/>
        </w:rPr>
        <w:t xml:space="preserve">  </w:t>
      </w:r>
      <w:r w:rsidRPr="00AA55B8">
        <w:rPr>
          <w:rFonts w:ascii="Arial" w:hAnsi="Arial" w:cs="Arial"/>
          <w:color w:val="000000" w:themeColor="text1"/>
        </w:rPr>
        <w:t>Actionable</w:t>
      </w:r>
      <w:proofErr w:type="gramStart"/>
      <w:r w:rsidRPr="00AA55B8">
        <w:rPr>
          <w:rFonts w:ascii="Arial" w:hAnsi="Arial" w:cs="Arial"/>
          <w:color w:val="000000" w:themeColor="text1"/>
        </w:rPr>
        <w:t>:</w:t>
      </w:r>
      <w:proofErr w:type="gramEnd"/>
      <w:r w:rsidRPr="00AA55B8">
        <w:rPr>
          <w:rFonts w:ascii="Arial" w:hAnsi="Arial" w:cs="Arial"/>
          <w:color w:val="000000" w:themeColor="text1"/>
        </w:rPr>
        <w:br/>
        <w:t>Use existing SMS infrastructure for outreach.</w:t>
      </w:r>
    </w:p>
    <w:p w:rsidR="009A79E9" w:rsidRPr="00AA55B8" w:rsidRDefault="00AA55B8">
      <w:pPr>
        <w:rPr>
          <w:rFonts w:ascii="Arial" w:hAnsi="Arial" w:cs="Arial"/>
          <w:color w:val="000000" w:themeColor="text1"/>
        </w:rPr>
      </w:pPr>
      <w:r w:rsidRPr="00AA55B8">
        <w:rPr>
          <w:rFonts w:ascii="Arial" w:hAnsi="Arial" w:cs="Arial"/>
          <w:color w:val="000000" w:themeColor="text1"/>
        </w:rPr>
        <w:t xml:space="preserve">  </w:t>
      </w:r>
      <w:r w:rsidRPr="00AA55B8">
        <w:rPr>
          <w:rFonts w:ascii="Arial" w:hAnsi="Arial" w:cs="Arial"/>
          <w:color w:val="000000" w:themeColor="text1"/>
        </w:rPr>
        <w:t>Relevant</w:t>
      </w:r>
      <w:proofErr w:type="gramStart"/>
      <w:r w:rsidRPr="00AA55B8">
        <w:rPr>
          <w:rFonts w:ascii="Arial" w:hAnsi="Arial" w:cs="Arial"/>
          <w:color w:val="000000" w:themeColor="text1"/>
        </w:rPr>
        <w:t>:</w:t>
      </w:r>
      <w:proofErr w:type="gramEnd"/>
      <w:r w:rsidRPr="00AA55B8">
        <w:rPr>
          <w:rFonts w:ascii="Arial" w:hAnsi="Arial" w:cs="Arial"/>
          <w:color w:val="000000" w:themeColor="text1"/>
        </w:rPr>
        <w:br/>
        <w:t xml:space="preserve">Aligns with </w:t>
      </w:r>
      <w:proofErr w:type="spellStart"/>
      <w:r w:rsidRPr="00AA55B8">
        <w:rPr>
          <w:rFonts w:ascii="Arial" w:hAnsi="Arial" w:cs="Arial"/>
          <w:color w:val="000000" w:themeColor="text1"/>
        </w:rPr>
        <w:t>Geldium’s</w:t>
      </w:r>
      <w:proofErr w:type="spellEnd"/>
      <w:r w:rsidRPr="00AA55B8">
        <w:rPr>
          <w:rFonts w:ascii="Arial" w:hAnsi="Arial" w:cs="Arial"/>
          <w:color w:val="000000" w:themeColor="text1"/>
        </w:rPr>
        <w:t xml:space="preserve"> goal </w:t>
      </w:r>
      <w:r w:rsidRPr="00AA55B8">
        <w:rPr>
          <w:rFonts w:ascii="Arial" w:hAnsi="Arial" w:cs="Arial"/>
          <w:color w:val="000000" w:themeColor="text1"/>
        </w:rPr>
        <w:t>to lower delinquency and improve repayment behavior.</w:t>
      </w:r>
    </w:p>
    <w:p w:rsidR="009A79E9" w:rsidRPr="00AA55B8" w:rsidRDefault="00AA55B8">
      <w:pPr>
        <w:rPr>
          <w:rFonts w:ascii="Arial" w:hAnsi="Arial" w:cs="Arial"/>
          <w:color w:val="000000" w:themeColor="text1"/>
        </w:rPr>
      </w:pPr>
      <w:r w:rsidRPr="00AA55B8">
        <w:rPr>
          <w:rFonts w:ascii="Arial" w:hAnsi="Arial" w:cs="Arial"/>
          <w:color w:val="000000" w:themeColor="text1"/>
        </w:rPr>
        <w:t xml:space="preserve">  </w:t>
      </w:r>
      <w:r w:rsidRPr="00AA55B8">
        <w:rPr>
          <w:rFonts w:ascii="Arial" w:hAnsi="Arial" w:cs="Arial"/>
          <w:color w:val="000000" w:themeColor="text1"/>
        </w:rPr>
        <w:t>Time-bound</w:t>
      </w:r>
      <w:proofErr w:type="gramStart"/>
      <w:r w:rsidRPr="00AA55B8">
        <w:rPr>
          <w:rFonts w:ascii="Arial" w:hAnsi="Arial" w:cs="Arial"/>
          <w:color w:val="000000" w:themeColor="text1"/>
        </w:rPr>
        <w:t>:</w:t>
      </w:r>
      <w:proofErr w:type="gramEnd"/>
      <w:r w:rsidRPr="00AA55B8">
        <w:rPr>
          <w:rFonts w:ascii="Arial" w:hAnsi="Arial" w:cs="Arial"/>
          <w:color w:val="000000" w:themeColor="text1"/>
        </w:rPr>
        <w:br/>
        <w:t>Campaign will run for 6 weeks.</w:t>
      </w:r>
    </w:p>
    <w:p w:rsidR="009A79E9" w:rsidRPr="00AA55B8" w:rsidRDefault="00AA55B8">
      <w:pPr>
        <w:rPr>
          <w:rFonts w:ascii="Arial" w:hAnsi="Arial" w:cs="Arial"/>
          <w:color w:val="000000" w:themeColor="text1"/>
        </w:rPr>
      </w:pPr>
      <w:r w:rsidRPr="00AA55B8">
        <w:rPr>
          <w:rFonts w:ascii="Arial" w:hAnsi="Arial" w:cs="Arial"/>
          <w:color w:val="000000" w:themeColor="text1"/>
        </w:rPr>
        <w:t>Justification and Business Rationale</w:t>
      </w:r>
      <w:proofErr w:type="gramStart"/>
      <w:r w:rsidRPr="00AA55B8">
        <w:rPr>
          <w:rFonts w:ascii="Arial" w:hAnsi="Arial" w:cs="Arial"/>
          <w:color w:val="000000" w:themeColor="text1"/>
        </w:rPr>
        <w:t>:</w:t>
      </w:r>
      <w:proofErr w:type="gramEnd"/>
      <w:r w:rsidRPr="00AA55B8">
        <w:rPr>
          <w:rFonts w:ascii="Arial" w:hAnsi="Arial" w:cs="Arial"/>
          <w:color w:val="000000" w:themeColor="text1"/>
        </w:rPr>
        <w:br/>
        <w:t>This targeted campaign is simple, cost-effective, and data-backed. It directly reaches a high-risk segment with an inter</w:t>
      </w:r>
      <w:r w:rsidRPr="00AA55B8">
        <w:rPr>
          <w:rFonts w:ascii="Arial" w:hAnsi="Arial" w:cs="Arial"/>
          <w:color w:val="000000" w:themeColor="text1"/>
        </w:rPr>
        <w:t>vention that is easy to scale. By focusing on this group, Geldium can achieve significant impact in reducing overall delinquency while maintaining a positive customer experience.</w:t>
      </w:r>
      <w:r w:rsidRPr="00AA55B8">
        <w:rPr>
          <w:rFonts w:ascii="Arial" w:hAnsi="Arial" w:cs="Arial"/>
          <w:color w:val="000000" w:themeColor="text1"/>
        </w:rPr>
        <w:br/>
      </w:r>
    </w:p>
    <w:p w:rsidR="009A79E9" w:rsidRPr="00AA55B8" w:rsidRDefault="00AA55B8">
      <w:pPr>
        <w:pStyle w:val="Heading1"/>
        <w:rPr>
          <w:rFonts w:ascii="Arial" w:hAnsi="Arial" w:cs="Arial"/>
          <w:color w:val="000000" w:themeColor="text1"/>
        </w:rPr>
      </w:pPr>
      <w:r w:rsidRPr="00AA55B8">
        <w:rPr>
          <w:rFonts w:ascii="Arial" w:hAnsi="Arial" w:cs="Arial"/>
          <w:color w:val="000000" w:themeColor="text1"/>
        </w:rPr>
        <w:t>3. Ethical and Responsible AI Considerations</w:t>
      </w:r>
    </w:p>
    <w:p w:rsidR="009A79E9" w:rsidRPr="00AA55B8" w:rsidRDefault="00AA55B8">
      <w:pPr>
        <w:rPr>
          <w:rFonts w:ascii="Arial" w:hAnsi="Arial" w:cs="Arial"/>
          <w:color w:val="000000" w:themeColor="text1"/>
        </w:rPr>
      </w:pPr>
      <w:r w:rsidRPr="00AA55B8">
        <w:rPr>
          <w:rFonts w:ascii="Arial" w:hAnsi="Arial" w:cs="Arial"/>
          <w:color w:val="000000" w:themeColor="text1"/>
        </w:rPr>
        <w:br/>
        <w:t xml:space="preserve">- Potential Bias: The model </w:t>
      </w:r>
      <w:r w:rsidRPr="00AA55B8">
        <w:rPr>
          <w:rFonts w:ascii="Arial" w:hAnsi="Arial" w:cs="Arial"/>
          <w:color w:val="000000" w:themeColor="text1"/>
        </w:rPr>
        <w:t>may under-represent or misclassify certain demographic groups if historical data is skewed (e.g., income or location-based bias). Fairness checks are necessary.</w:t>
      </w:r>
      <w:r w:rsidRPr="00AA55B8">
        <w:rPr>
          <w:rFonts w:ascii="Arial" w:hAnsi="Arial" w:cs="Arial"/>
          <w:color w:val="000000" w:themeColor="text1"/>
        </w:rPr>
        <w:br/>
        <w:t xml:space="preserve">- Explainability: Logistic regression provides interpretable coefficients, which makes it easy </w:t>
      </w:r>
      <w:r w:rsidRPr="00AA55B8">
        <w:rPr>
          <w:rFonts w:ascii="Arial" w:hAnsi="Arial" w:cs="Arial"/>
          <w:color w:val="000000" w:themeColor="text1"/>
        </w:rPr>
        <w:t>to explain to business stakeholders how risk is determined.</w:t>
      </w:r>
      <w:r w:rsidRPr="00AA55B8">
        <w:rPr>
          <w:rFonts w:ascii="Arial" w:hAnsi="Arial" w:cs="Arial"/>
          <w:color w:val="000000" w:themeColor="text1"/>
        </w:rPr>
        <w:br/>
        <w:t>- Responsible Decision-Making: Model outputs are reviewed by humans before action. The SMS campaign is supportive, not punitive.</w:t>
      </w:r>
      <w:r w:rsidRPr="00AA55B8">
        <w:rPr>
          <w:rFonts w:ascii="Arial" w:hAnsi="Arial" w:cs="Arial"/>
          <w:color w:val="000000" w:themeColor="text1"/>
        </w:rPr>
        <w:br/>
        <w:t>- Other Ethical Principles: Transparency is maintained through expl</w:t>
      </w:r>
      <w:r w:rsidRPr="00AA55B8">
        <w:rPr>
          <w:rFonts w:ascii="Arial" w:hAnsi="Arial" w:cs="Arial"/>
          <w:color w:val="000000" w:themeColor="text1"/>
        </w:rPr>
        <w:t>ainable features. Privacy is ensured by using anonymized data. Ongoing monitoring ensures the model adapts to changing customer behavior.</w:t>
      </w:r>
      <w:r w:rsidRPr="00AA55B8">
        <w:rPr>
          <w:rFonts w:ascii="Arial" w:hAnsi="Arial" w:cs="Arial"/>
          <w:color w:val="000000" w:themeColor="text1"/>
        </w:rPr>
        <w:br/>
      </w:r>
    </w:p>
    <w:sectPr w:rsidR="009A79E9" w:rsidRPr="00AA55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9A79E9"/>
    <w:rsid w:val="00AA1D8D"/>
    <w:rsid w:val="00AA55B8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PC2</cp:lastModifiedBy>
  <cp:revision>2</cp:revision>
  <dcterms:created xsi:type="dcterms:W3CDTF">2013-12-23T23:15:00Z</dcterms:created>
  <dcterms:modified xsi:type="dcterms:W3CDTF">2025-07-21T00:12:00Z</dcterms:modified>
  <cp:category/>
</cp:coreProperties>
</file>