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FCAA5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GOOD CLINICAL PRACTICE (GCP) COMPLIANCE HANDBOOK</w:t>
      </w:r>
    </w:p>
    <w:p w14:paraId="6D2E0D28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POLICY REF: QA-101</w:t>
      </w:r>
    </w:p>
    <w:p w14:paraId="1ABBA2FB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EFFECTIVE DATE: 2024-01-01</w:t>
      </w:r>
    </w:p>
    <w:p w14:paraId="2B683CF2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58F6C782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ESSENTIAL DOCUMENTS REQUIREMENTS:</w:t>
      </w:r>
    </w:p>
    <w:p w14:paraId="0E50BDE4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4A918A60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1. INVESTIGATOR'S BROCHURE:</w:t>
      </w:r>
    </w:p>
    <w:p w14:paraId="4C7667B4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  - Must be version controlled</w:t>
      </w:r>
    </w:p>
    <w:p w14:paraId="757554A1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  - Updated annually or with significant changes</w:t>
      </w:r>
    </w:p>
    <w:p w14:paraId="313CA870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  - Archived for 2 years after product approval</w:t>
      </w:r>
    </w:p>
    <w:p w14:paraId="7F16A594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22DB1741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2. INFORMED CONSENT FORM:</w:t>
      </w:r>
    </w:p>
    <w:p w14:paraId="4A17CF16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  - Required elements per 21 CFR 50.25</w:t>
      </w:r>
    </w:p>
    <w:p w14:paraId="0E705ADC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  - 8th grade reading level maximum</w:t>
      </w:r>
    </w:p>
    <w:p w14:paraId="075A5190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  - Witness signature required for cognitively impaired subjects</w:t>
      </w:r>
    </w:p>
    <w:p w14:paraId="2EF7B829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  - Copies provided to subject (1) and site (2)</w:t>
      </w:r>
    </w:p>
    <w:p w14:paraId="7060D53B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4DE13E8E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3. CASE REPORT FORMS (CRFs):</w:t>
      </w:r>
    </w:p>
    <w:p w14:paraId="5529ACD2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  - Source data verification: 100% for primary endpoints</w:t>
      </w:r>
    </w:p>
    <w:p w14:paraId="3AD7C8F5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  - Query resolution within 7 business days</w:t>
      </w:r>
    </w:p>
    <w:p w14:paraId="03454296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  - Electronic signatures require 2FA</w:t>
      </w:r>
    </w:p>
    <w:p w14:paraId="13183755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230F6C42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4. MONITORING REPORTS:</w:t>
      </w:r>
    </w:p>
    <w:p w14:paraId="21B8E92F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  - Site initiation reports within 10 days</w:t>
      </w:r>
    </w:p>
    <w:p w14:paraId="4DD6754F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  - Routine monitoring reports within 5 days</w:t>
      </w:r>
    </w:p>
    <w:p w14:paraId="375F2B3F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  - Close-out reports within 15 days</w:t>
      </w:r>
    </w:p>
    <w:p w14:paraId="590AD7AB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1000956A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AUDIT PREPARATION:</w:t>
      </w:r>
    </w:p>
    <w:p w14:paraId="0170B244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- Regulatory inspections: Notify QA Director immediately</w:t>
      </w:r>
    </w:p>
    <w:p w14:paraId="5B739B5D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lastRenderedPageBreak/>
        <w:t>- Internal audits: Scheduled quarterly</w:t>
      </w:r>
    </w:p>
    <w:p w14:paraId="7D1C359F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- CAPA plans: Required within 30 days of audit findings</w:t>
      </w:r>
    </w:p>
    <w:p w14:paraId="3E41FD36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- Documentation review: 100% of essential documents pre-inspection</w:t>
      </w:r>
    </w:p>
    <w:p w14:paraId="049BE28D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6B4EFE35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REPORTING TIMELINES:</w:t>
      </w:r>
    </w:p>
    <w:p w14:paraId="507B1FEE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- SAEs to IRB: 5 working days</w:t>
      </w:r>
    </w:p>
    <w:p w14:paraId="1E84BDDD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- SAEs to FDA: 7 calendar days (fatal/life-threatening)</w:t>
      </w:r>
    </w:p>
    <w:p w14:paraId="657476F0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- Protocol amendments to IRB: Prior to implementation</w:t>
      </w:r>
    </w:p>
    <w:p w14:paraId="4003C31C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- Annual reports: Within 60 days of anniversary</w:t>
      </w:r>
    </w:p>
    <w:p w14:paraId="6B60CE8E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7BE0FF10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TRAINING REQUIREMENTS:</w:t>
      </w:r>
    </w:p>
    <w:p w14:paraId="01A61528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- GCP training: Required annually for all clinical staff</w:t>
      </w:r>
    </w:p>
    <w:p w14:paraId="5B865B3F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- Protocol-specific training: Before site initiation</w:t>
      </w:r>
    </w:p>
    <w:p w14:paraId="4C67772C" w14:textId="77777777" w:rsidR="000076FB" w:rsidRPr="000076FB" w:rsidRDefault="000076FB" w:rsidP="000076FB">
      <w:pPr>
        <w:pStyle w:val="a3"/>
        <w:spacing w:before="240" w:beforeAutospacing="0" w:after="240" w:afterAutospacing="0"/>
        <w:rPr>
          <w:lang w:val="en-US"/>
        </w:rPr>
      </w:pPr>
      <w:r w:rsidRPr="000076FB">
        <w:rPr>
          <w:rFonts w:ascii="Arial" w:hAnsi="Arial" w:cs="Arial"/>
          <w:color w:val="000000"/>
          <w:sz w:val="22"/>
          <w:szCs w:val="22"/>
          <w:lang w:val="en-US"/>
        </w:rPr>
        <w:t>- Documentation: Training logs maintained for 3 years</w:t>
      </w:r>
    </w:p>
    <w:p w14:paraId="61B53197" w14:textId="77777777" w:rsidR="00B20766" w:rsidRPr="000076FB" w:rsidRDefault="00B20766">
      <w:pPr>
        <w:rPr>
          <w:lang w:val="en-US"/>
        </w:rPr>
      </w:pPr>
    </w:p>
    <w:sectPr w:rsidR="00B20766" w:rsidRPr="000076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6E"/>
    <w:rsid w:val="000076FB"/>
    <w:rsid w:val="003B486E"/>
    <w:rsid w:val="00B20766"/>
    <w:rsid w:val="00C4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057D26-8385-44EF-9EBB-43FE726F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A5A"/>
    <w:pPr>
      <w:spacing w:before="240" w:after="240" w:line="360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076F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5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Yertugan TB</dc:creator>
  <cp:keywords/>
  <dc:description/>
  <cp:lastModifiedBy>Yertugan TB</cp:lastModifiedBy>
  <cp:revision>2</cp:revision>
  <dcterms:created xsi:type="dcterms:W3CDTF">2026-01-24T12:10:00Z</dcterms:created>
  <dcterms:modified xsi:type="dcterms:W3CDTF">2026-01-24T12:10:00Z</dcterms:modified>
</cp:coreProperties>
</file>