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93624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INFORMATION SECURITY POLICY</w:t>
      </w:r>
    </w:p>
    <w:p w14:paraId="3BEEE409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POLICY ID: IT-2024-001</w:t>
      </w:r>
    </w:p>
    <w:p w14:paraId="56AF08C2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APPROVED BY: Security Committee</w:t>
      </w:r>
    </w:p>
    <w:p w14:paraId="13EFCC00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DATE: 2024-09-15</w:t>
      </w:r>
    </w:p>
    <w:p w14:paraId="7171E773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39C9239C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DATA CLASSIFICATION:</w:t>
      </w:r>
    </w:p>
    <w:p w14:paraId="7467E2D2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1. CONFIDENTIAL (Red):</w:t>
      </w:r>
    </w:p>
    <w:p w14:paraId="5075999C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Clinical trial data (patient-level)</w:t>
      </w:r>
    </w:p>
    <w:p w14:paraId="4A92D14F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Intellectual property (molecular structures)</w:t>
      </w:r>
    </w:p>
    <w:p w14:paraId="7D74A328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Financial records</w:t>
      </w:r>
    </w:p>
    <w:p w14:paraId="7EA41F1A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HR personal data</w:t>
      </w:r>
    </w:p>
    <w:p w14:paraId="794A2619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Encryption: Always encrypted, both at rest and in transit</w:t>
      </w:r>
    </w:p>
    <w:p w14:paraId="2CA47E73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Access: Role-based, requires MFA and VPN</w:t>
      </w:r>
    </w:p>
    <w:p w14:paraId="3D93D4E0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B5A59B5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2. INTERNAL USE ONLY (Yellow):</w:t>
      </w:r>
    </w:p>
    <w:p w14:paraId="043067C6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Internal reports</w:t>
      </w:r>
    </w:p>
    <w:p w14:paraId="5009C383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Meeting minutes</w:t>
      </w:r>
    </w:p>
    <w:p w14:paraId="219E555A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Training materials</w:t>
      </w:r>
    </w:p>
    <w:p w14:paraId="523D3297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Encryption: Encrypted at rest</w:t>
      </w:r>
    </w:p>
    <w:p w14:paraId="10CA9CFB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Access: Company employees only</w:t>
      </w:r>
    </w:p>
    <w:p w14:paraId="47F4FFA8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D00ABE5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3. PUBLIC (Green):</w:t>
      </w:r>
    </w:p>
    <w:p w14:paraId="3DCF3E31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Published papers</w:t>
      </w:r>
    </w:p>
    <w:p w14:paraId="5291BB03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Press releases</w:t>
      </w:r>
    </w:p>
    <w:p w14:paraId="3BC03A6E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- Marketing materials</w:t>
      </w:r>
    </w:p>
    <w:p w14:paraId="588E6DB8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Encryption: Optional</w:t>
      </w:r>
    </w:p>
    <w:p w14:paraId="6B140AED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  Access: No restrictions</w:t>
      </w:r>
    </w:p>
    <w:p w14:paraId="7AF41331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00912AA0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PASSWORD POLICY:</w:t>
      </w:r>
    </w:p>
    <w:p w14:paraId="5C1CFE49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>- Minimum length: 12 characters</w:t>
      </w:r>
    </w:p>
    <w:p w14:paraId="5F541F45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Complexity: Upper, lower, number, special character</w:t>
      </w:r>
    </w:p>
    <w:p w14:paraId="39407CD3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Expiration: 90 days</w:t>
      </w:r>
    </w:p>
    <w:p w14:paraId="7A016D8F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History: 5 previous passwords remembered</w:t>
      </w:r>
    </w:p>
    <w:p w14:paraId="23D50F05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MFA: Required for all systems</w:t>
      </w:r>
    </w:p>
    <w:p w14:paraId="3FAE0743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2596405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INCIDENT RESPONSE:</w:t>
      </w:r>
    </w:p>
    <w:p w14:paraId="0A5EBCA8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1. Detection: Report to security@nexusbiotech.com</w:t>
      </w:r>
    </w:p>
    <w:p w14:paraId="6F782C48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2. Containment: Isolate affected systems within 1 hour</w:t>
      </w:r>
    </w:p>
    <w:p w14:paraId="7047A949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3. Investigation: Forensic analysis within 24 hours</w:t>
      </w:r>
    </w:p>
    <w:p w14:paraId="08363B5A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4. Notification: Legal required if PHI breach (&gt;500 records)</w:t>
      </w:r>
    </w:p>
    <w:p w14:paraId="238F997B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5. Recovery: System restoration with clean backups</w:t>
      </w:r>
    </w:p>
    <w:p w14:paraId="56FFB67C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B0892BB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BACKUP SCHEDULE:</w:t>
      </w:r>
    </w:p>
    <w:p w14:paraId="02F1E80E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Critical data: Hourly incremental, daily full</w:t>
      </w:r>
    </w:p>
    <w:p w14:paraId="15600594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Important data: Daily incremental, weekly full</w:t>
      </w:r>
    </w:p>
    <w:p w14:paraId="1FC2C3DB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Archive: Monthly, retained for 7 years</w:t>
      </w:r>
    </w:p>
    <w:p w14:paraId="0DE05ECF" w14:textId="77777777" w:rsidR="008D7C8C" w:rsidRPr="008D7C8C" w:rsidRDefault="008D7C8C" w:rsidP="008D7C8C">
      <w:pPr>
        <w:pStyle w:val="a3"/>
        <w:spacing w:before="240" w:beforeAutospacing="0" w:after="240" w:afterAutospacing="0"/>
        <w:rPr>
          <w:lang w:val="en-US"/>
        </w:rPr>
      </w:pPr>
      <w:r w:rsidRPr="008D7C8C">
        <w:rPr>
          <w:rFonts w:ascii="Arial" w:hAnsi="Arial" w:cs="Arial"/>
          <w:color w:val="000000"/>
          <w:sz w:val="22"/>
          <w:szCs w:val="22"/>
          <w:lang w:val="en-US"/>
        </w:rPr>
        <w:t>- Testing: Restore test quarterly</w:t>
      </w:r>
    </w:p>
    <w:p w14:paraId="3955A129" w14:textId="77777777" w:rsidR="00B20766" w:rsidRPr="008D7C8C" w:rsidRDefault="00B20766">
      <w:pPr>
        <w:rPr>
          <w:lang w:val="en-US"/>
        </w:rPr>
      </w:pPr>
    </w:p>
    <w:sectPr w:rsidR="00B20766" w:rsidRPr="008D7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88"/>
    <w:rsid w:val="00141D88"/>
    <w:rsid w:val="008D7C8C"/>
    <w:rsid w:val="00B20766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DD2914-0152-42C3-B7F9-C04967FE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7C8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2026-01-24T12:10:00Z</dcterms:created>
  <dcterms:modified xsi:type="dcterms:W3CDTF">2026-01-24T12:11:00Z</dcterms:modified>
</cp:coreProperties>
</file>