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B521D" w14:textId="77777777" w:rsidR="00A75704" w:rsidRPr="00A75704" w:rsidRDefault="00A75704" w:rsidP="00A75704">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14:ligatures w14:val="none"/>
        </w:rPr>
      </w:pPr>
      <w:r w:rsidRPr="00A75704">
        <w:rPr>
          <w:rFonts w:ascii="Times New Roman" w:eastAsia="Times New Roman" w:hAnsi="Times New Roman" w:cs="Times New Roman"/>
          <w:b/>
          <w:bCs/>
          <w:color w:val="000000" w:themeColor="text1"/>
          <w:kern w:val="36"/>
          <w:sz w:val="48"/>
          <w:szCs w:val="48"/>
          <w14:ligatures w14:val="none"/>
        </w:rPr>
        <w:t>Literature Review: AI-Based Adaptive and Personalized Learning Platform for Teaching Programming (Grades 6–8)</w:t>
      </w:r>
    </w:p>
    <w:p w14:paraId="4959E958"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Tsoy Ruslan, Yertugan Toktal · Supervisor: Aliya D. Katyetova, PhD · Draft, October 2026</w:t>
      </w:r>
    </w:p>
    <w:p w14:paraId="1959A166" w14:textId="77777777" w:rsidR="00A75704" w:rsidRPr="00A75704" w:rsidRDefault="00A75704" w:rsidP="00A7570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A75704">
        <w:rPr>
          <w:rFonts w:ascii="Times New Roman" w:eastAsia="Times New Roman" w:hAnsi="Times New Roman" w:cs="Times New Roman"/>
          <w:b/>
          <w:bCs/>
          <w:color w:val="000000" w:themeColor="text1"/>
          <w:kern w:val="0"/>
          <w:sz w:val="36"/>
          <w:szCs w:val="36"/>
          <w14:ligatures w14:val="none"/>
        </w:rPr>
        <w:t>1. Purpose and scope</w:t>
      </w:r>
    </w:p>
    <w:p w14:paraId="1E918406"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This review examines what is currently known about using generative AI (GenAI), adaptive learning mechanisms and personalization in programming education, with a particular focus on school-age learners. It supports the project proposal by answering four questions: (1) what approaches exist, (2) what evidence there is that they work for learners of Grades 6–8 (typically 11–14 years old), (3) which limitations and risks are reported, and (4) which of these findings the project must take into account.</w:t>
      </w:r>
    </w:p>
    <w:p w14:paraId="4F8295F9" w14:textId="77777777" w:rsidR="00A75704" w:rsidRPr="00A75704" w:rsidRDefault="00A75704" w:rsidP="00A7570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A75704">
        <w:rPr>
          <w:rFonts w:ascii="Times New Roman" w:eastAsia="Times New Roman" w:hAnsi="Times New Roman" w:cs="Times New Roman"/>
          <w:b/>
          <w:bCs/>
          <w:color w:val="000000" w:themeColor="text1"/>
          <w:kern w:val="0"/>
          <w:sz w:val="36"/>
          <w:szCs w:val="36"/>
          <w14:ligatures w14:val="none"/>
        </w:rPr>
        <w:t>2. Source selection</w:t>
      </w:r>
    </w:p>
    <w:p w14:paraId="5FC04959"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The review is based on 12 sources: 8 peer-reviewed journal articles and 4 peer-reviewed conference papers. Eleven of the twelve were published in 2025–2026 and one in 2022, so the core body of evidence comes from the last five years, as required for a rapidly evolving topic. The sources were selected by the team because they combine programming education with GenAI, adaptive learning or personalization. This is therefore a critical narrative review and not a PRISMA-style systematic review. The sources include three experimental or quasi-experimental studies with school students (S2, S9, and partly S3), one tool-design paper for high school (S1), two literature reviews (S4, S12), and several studies with university students (S7, S10, S11) or project-level data (S8). Section 8 lists what should still be added.</w:t>
      </w:r>
    </w:p>
    <w:p w14:paraId="6ECAB7A4" w14:textId="77777777" w:rsidR="00A75704" w:rsidRPr="00A75704" w:rsidRDefault="00A75704" w:rsidP="00A7570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A75704">
        <w:rPr>
          <w:rFonts w:ascii="Times New Roman" w:eastAsia="Times New Roman" w:hAnsi="Times New Roman" w:cs="Times New Roman"/>
          <w:b/>
          <w:bCs/>
          <w:color w:val="000000" w:themeColor="text1"/>
          <w:kern w:val="0"/>
          <w:sz w:val="36"/>
          <w:szCs w:val="36"/>
          <w14:ligatures w14:val="none"/>
        </w:rPr>
        <w:t>3. Structured analysis of publications</w:t>
      </w:r>
    </w:p>
    <w:tbl>
      <w:tblPr>
        <w:tblStyle w:val="TableGrid"/>
        <w:tblW w:w="0" w:type="auto"/>
        <w:tblLook w:val="04A0" w:firstRow="1" w:lastRow="0" w:firstColumn="1" w:lastColumn="0" w:noHBand="0" w:noVBand="1"/>
      </w:tblPr>
      <w:tblGrid>
        <w:gridCol w:w="590"/>
        <w:gridCol w:w="1412"/>
        <w:gridCol w:w="1667"/>
        <w:gridCol w:w="1735"/>
        <w:gridCol w:w="1948"/>
        <w:gridCol w:w="1998"/>
      </w:tblGrid>
      <w:tr w:rsidR="00A75704" w:rsidRPr="00A75704" w14:paraId="1C8602C1" w14:textId="77777777" w:rsidTr="00A75704">
        <w:tc>
          <w:tcPr>
            <w:tcW w:w="0" w:type="auto"/>
            <w:hideMark/>
          </w:tcPr>
          <w:p w14:paraId="71F40663" w14:textId="77777777" w:rsidR="00A75704" w:rsidRPr="00A75704" w:rsidRDefault="00A75704" w:rsidP="00A75704">
            <w:pPr>
              <w:spacing w:before="100" w:beforeAutospacing="1" w:after="100" w:afterAutospacing="1"/>
              <w:jc w:val="center"/>
              <w:rPr>
                <w:rFonts w:ascii="Times New Roman" w:eastAsia="Times New Roman" w:hAnsi="Times New Roman" w:cs="Times New Roman"/>
                <w:b/>
                <w:bCs/>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ID</w:t>
            </w:r>
          </w:p>
        </w:tc>
        <w:tc>
          <w:tcPr>
            <w:tcW w:w="0" w:type="auto"/>
            <w:hideMark/>
          </w:tcPr>
          <w:p w14:paraId="39A5EEE3" w14:textId="77777777" w:rsidR="00A75704" w:rsidRPr="00A75704" w:rsidRDefault="00A75704" w:rsidP="00A75704">
            <w:pPr>
              <w:spacing w:before="100" w:beforeAutospacing="1" w:after="100" w:afterAutospacing="1"/>
              <w:jc w:val="center"/>
              <w:rPr>
                <w:rFonts w:ascii="Times New Roman" w:eastAsia="Times New Roman" w:hAnsi="Times New Roman" w:cs="Times New Roman"/>
                <w:b/>
                <w:bCs/>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Source</w:t>
            </w:r>
          </w:p>
        </w:tc>
        <w:tc>
          <w:tcPr>
            <w:tcW w:w="0" w:type="auto"/>
            <w:hideMark/>
          </w:tcPr>
          <w:p w14:paraId="2DCA5C19" w14:textId="77777777" w:rsidR="00A75704" w:rsidRPr="00A75704" w:rsidRDefault="00A75704" w:rsidP="00A75704">
            <w:pPr>
              <w:spacing w:before="100" w:beforeAutospacing="1" w:after="100" w:afterAutospacing="1"/>
              <w:jc w:val="center"/>
              <w:rPr>
                <w:rFonts w:ascii="Times New Roman" w:eastAsia="Times New Roman" w:hAnsi="Times New Roman" w:cs="Times New Roman"/>
                <w:b/>
                <w:bCs/>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Context and sample</w:t>
            </w:r>
          </w:p>
        </w:tc>
        <w:tc>
          <w:tcPr>
            <w:tcW w:w="0" w:type="auto"/>
            <w:hideMark/>
          </w:tcPr>
          <w:p w14:paraId="473BF88F" w14:textId="77777777" w:rsidR="00A75704" w:rsidRPr="00A75704" w:rsidRDefault="00A75704" w:rsidP="00A75704">
            <w:pPr>
              <w:spacing w:before="100" w:beforeAutospacing="1" w:after="100" w:afterAutospacing="1"/>
              <w:jc w:val="center"/>
              <w:rPr>
                <w:rFonts w:ascii="Times New Roman" w:eastAsia="Times New Roman" w:hAnsi="Times New Roman" w:cs="Times New Roman"/>
                <w:b/>
                <w:bCs/>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Approach</w:t>
            </w:r>
          </w:p>
        </w:tc>
        <w:tc>
          <w:tcPr>
            <w:tcW w:w="0" w:type="auto"/>
            <w:hideMark/>
          </w:tcPr>
          <w:p w14:paraId="62BB58BE" w14:textId="77777777" w:rsidR="00A75704" w:rsidRPr="00A75704" w:rsidRDefault="00A75704" w:rsidP="00A75704">
            <w:pPr>
              <w:spacing w:before="100" w:beforeAutospacing="1" w:after="100" w:afterAutospacing="1"/>
              <w:jc w:val="center"/>
              <w:rPr>
                <w:rFonts w:ascii="Times New Roman" w:eastAsia="Times New Roman" w:hAnsi="Times New Roman" w:cs="Times New Roman"/>
                <w:b/>
                <w:bCs/>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Key findings</w:t>
            </w:r>
          </w:p>
        </w:tc>
        <w:tc>
          <w:tcPr>
            <w:tcW w:w="0" w:type="auto"/>
            <w:hideMark/>
          </w:tcPr>
          <w:p w14:paraId="48486636" w14:textId="77777777" w:rsidR="00A75704" w:rsidRPr="00A75704" w:rsidRDefault="00A75704" w:rsidP="00A75704">
            <w:pPr>
              <w:spacing w:before="100" w:beforeAutospacing="1" w:after="100" w:afterAutospacing="1"/>
              <w:jc w:val="center"/>
              <w:rPr>
                <w:rFonts w:ascii="Times New Roman" w:eastAsia="Times New Roman" w:hAnsi="Times New Roman" w:cs="Times New Roman"/>
                <w:b/>
                <w:bCs/>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Limitations and relevance</w:t>
            </w:r>
          </w:p>
        </w:tc>
      </w:tr>
      <w:tr w:rsidR="00A75704" w:rsidRPr="00A75704" w14:paraId="68F4F5B1" w14:textId="77777777" w:rsidTr="00A75704">
        <w:tc>
          <w:tcPr>
            <w:tcW w:w="0" w:type="auto"/>
            <w:hideMark/>
          </w:tcPr>
          <w:p w14:paraId="5C24777C"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S1</w:t>
            </w:r>
          </w:p>
        </w:tc>
        <w:tc>
          <w:tcPr>
            <w:tcW w:w="0" w:type="auto"/>
            <w:hideMark/>
          </w:tcPr>
          <w:p w14:paraId="7E08B3EC"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Kim et al., 2025 (Eng. Proc., conference paper)</w:t>
            </w:r>
          </w:p>
        </w:tc>
        <w:tc>
          <w:tcPr>
            <w:tcW w:w="0" w:type="auto"/>
            <w:hideMark/>
          </w:tcPr>
          <w:p w14:paraId="2EEB69CF"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High school informatics, Korea; tablet survey of 42 students</w:t>
            </w:r>
          </w:p>
        </w:tc>
        <w:tc>
          <w:tcPr>
            <w:tcW w:w="0" w:type="auto"/>
            <w:hideMark/>
          </w:tcPr>
          <w:p w14:paraId="1846F475"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Android tablet app with GPT-4o: concept explanations, AI-generated problems by difficulty, handwriting recognition and grading, chatbot Q&amp;A</w:t>
            </w:r>
          </w:p>
        </w:tc>
        <w:tc>
          <w:tcPr>
            <w:tcW w:w="0" w:type="auto"/>
            <w:hideMark/>
          </w:tcPr>
          <w:p w14:paraId="751CE034"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 xml:space="preserve">50 Python problems generated; most were curriculum-aligned and technically correct; only 8% were high difficulty, question types skewed to </w:t>
            </w:r>
            <w:r w:rsidRPr="00A75704">
              <w:rPr>
                <w:rFonts w:ascii="Times New Roman" w:eastAsia="Times New Roman" w:hAnsi="Times New Roman" w:cs="Times New Roman"/>
                <w:color w:val="000000" w:themeColor="text1"/>
                <w:kern w:val="0"/>
                <w14:ligatures w14:val="none"/>
              </w:rPr>
              <w:lastRenderedPageBreak/>
              <w:t>reading and multiple choice, scenarios repeated</w:t>
            </w:r>
          </w:p>
        </w:tc>
        <w:tc>
          <w:tcPr>
            <w:tcW w:w="0" w:type="auto"/>
            <w:hideMark/>
          </w:tcPr>
          <w:p w14:paraId="6FD21177"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lastRenderedPageBreak/>
              <w:t xml:space="preserve">No study with learners; quality of generated problems was assessed by the researchers together with ChatGPT itself. Directly relevant to AI task </w:t>
            </w:r>
            <w:r w:rsidRPr="00A75704">
              <w:rPr>
                <w:rFonts w:ascii="Times New Roman" w:eastAsia="Times New Roman" w:hAnsi="Times New Roman" w:cs="Times New Roman"/>
                <w:color w:val="000000" w:themeColor="text1"/>
                <w:kern w:val="0"/>
                <w14:ligatures w14:val="none"/>
              </w:rPr>
              <w:lastRenderedPageBreak/>
              <w:t>generation and difficulty control</w:t>
            </w:r>
          </w:p>
        </w:tc>
      </w:tr>
      <w:tr w:rsidR="00A75704" w:rsidRPr="00A75704" w14:paraId="32F86C9C" w14:textId="77777777" w:rsidTr="00A75704">
        <w:tc>
          <w:tcPr>
            <w:tcW w:w="0" w:type="auto"/>
            <w:hideMark/>
          </w:tcPr>
          <w:p w14:paraId="1882840F"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S2</w:t>
            </w:r>
          </w:p>
        </w:tc>
        <w:tc>
          <w:tcPr>
            <w:tcW w:w="0" w:type="auto"/>
            <w:hideMark/>
          </w:tcPr>
          <w:p w14:paraId="6210F77B"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Ren and Tse, 2025 (ICEEL, ACM)</w:t>
            </w:r>
          </w:p>
        </w:tc>
        <w:tc>
          <w:tcPr>
            <w:tcW w:w="0" w:type="auto"/>
            <w:hideMark/>
          </w:tcPr>
          <w:p w14:paraId="3FF32730"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Grade 8, China; 70 students, 4 weeks</w:t>
            </w:r>
          </w:p>
        </w:tc>
        <w:tc>
          <w:tcPr>
            <w:tcW w:w="0" w:type="auto"/>
            <w:hideMark/>
          </w:tcPr>
          <w:p w14:paraId="6E333FCA"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Mixed-methods quasi-experiment: GenAI-assisted vs teacher-led instruction, Python</w:t>
            </w:r>
          </w:p>
        </w:tc>
        <w:tc>
          <w:tcPr>
            <w:tcW w:w="0" w:type="auto"/>
            <w:hideMark/>
          </w:tcPr>
          <w:p w14:paraId="3F23230A"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Significant gains in cognitive (F = 14.826, p &lt; .001) and emotional engagement (F = 9.637, p = .003); behavioral engagement not significant; interviews showed more peer collaboration and independent debugging, but about half of interviewed students worried about dependency</w:t>
            </w:r>
          </w:p>
        </w:tc>
        <w:tc>
          <w:tcPr>
            <w:tcW w:w="0" w:type="auto"/>
            <w:hideMark/>
          </w:tcPr>
          <w:p w14:paraId="42041DCF"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Measures engagement, not programming achievement; short intervention, one school, intact classes, possible novelty effect. Closest age group to the project</w:t>
            </w:r>
          </w:p>
        </w:tc>
      </w:tr>
      <w:tr w:rsidR="00A75704" w:rsidRPr="00A75704" w14:paraId="32280089" w14:textId="77777777" w:rsidTr="00A75704">
        <w:tc>
          <w:tcPr>
            <w:tcW w:w="0" w:type="auto"/>
            <w:hideMark/>
          </w:tcPr>
          <w:p w14:paraId="7F6B716A"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S3</w:t>
            </w:r>
          </w:p>
        </w:tc>
        <w:tc>
          <w:tcPr>
            <w:tcW w:w="0" w:type="auto"/>
            <w:hideMark/>
          </w:tcPr>
          <w:p w14:paraId="57EADA0E"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Alebaikan et al., 2022 (Behavioral Sciences)</w:t>
            </w:r>
          </w:p>
        </w:tc>
        <w:tc>
          <w:tcPr>
            <w:tcW w:w="0" w:type="auto"/>
            <w:hideMark/>
          </w:tcPr>
          <w:p w14:paraId="67BC3029"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Girls aged 12, Saudi Arabia; 13 students</w:t>
            </w:r>
          </w:p>
        </w:tc>
        <w:tc>
          <w:tcPr>
            <w:tcW w:w="0" w:type="auto"/>
            <w:hideMark/>
          </w:tcPr>
          <w:p w14:paraId="3990965F"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Qualitative study of an online Scratch-like course (Thunkable, TalentLMS) with gamification and community-of-inquiry design</w:t>
            </w:r>
          </w:p>
        </w:tc>
        <w:tc>
          <w:tcPr>
            <w:tcW w:w="0" w:type="auto"/>
            <w:hideMark/>
          </w:tcPr>
          <w:p w14:paraId="7AE58F8D"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Points, badges and competition motivated students; students preferred live sessions with teacher support; two active students did not complete; students asked for a virtual assistant giving step-by-step guidance</w:t>
            </w:r>
          </w:p>
        </w:tc>
        <w:tc>
          <w:tcPr>
            <w:tcW w:w="0" w:type="auto"/>
            <w:hideMark/>
          </w:tcPr>
          <w:p w14:paraId="53C11AA5"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Very small, single-gender, self-selected sample; no AI component. Useful for motivation, completion and the demand for a virtual assistant</w:t>
            </w:r>
          </w:p>
        </w:tc>
      </w:tr>
      <w:tr w:rsidR="00A75704" w:rsidRPr="00A75704" w14:paraId="36B81632" w14:textId="77777777" w:rsidTr="00A75704">
        <w:tc>
          <w:tcPr>
            <w:tcW w:w="0" w:type="auto"/>
            <w:hideMark/>
          </w:tcPr>
          <w:p w14:paraId="43A96462"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S4</w:t>
            </w:r>
          </w:p>
        </w:tc>
        <w:tc>
          <w:tcPr>
            <w:tcW w:w="0" w:type="auto"/>
            <w:hideMark/>
          </w:tcPr>
          <w:p w14:paraId="547CCA8F"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Özgül, 2026 (Kastamonu Education Journal)</w:t>
            </w:r>
          </w:p>
        </w:tc>
        <w:tc>
          <w:tcPr>
            <w:tcW w:w="0" w:type="auto"/>
            <w:hideMark/>
          </w:tcPr>
          <w:p w14:paraId="5273AA50"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Systematic review (PRISMA), 27 studies, 2022–2025</w:t>
            </w:r>
          </w:p>
        </w:tc>
        <w:tc>
          <w:tcPr>
            <w:tcW w:w="0" w:type="auto"/>
            <w:hideMark/>
          </w:tcPr>
          <w:p w14:paraId="3A599B26"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Review of GenAI tools in programming education</w:t>
            </w:r>
          </w:p>
        </w:tc>
        <w:tc>
          <w:tcPr>
            <w:tcW w:w="0" w:type="auto"/>
            <w:hideMark/>
          </w:tcPr>
          <w:p w14:paraId="1AA1E3B6"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 xml:space="preserve">81.5% of studies were at undergraduate level and only three (11%) at middle or high school; ChatGPT </w:t>
            </w:r>
            <w:r w:rsidRPr="00A75704">
              <w:rPr>
                <w:rFonts w:ascii="Times New Roman" w:eastAsia="Times New Roman" w:hAnsi="Times New Roman" w:cs="Times New Roman"/>
                <w:color w:val="000000" w:themeColor="text1"/>
                <w:kern w:val="0"/>
                <w14:ligatures w14:val="none"/>
              </w:rPr>
              <w:lastRenderedPageBreak/>
              <w:t>used in 85%; reported risks: over-dependence, inaccurate output, plagiarism; benefits less clear for absolute beginners</w:t>
            </w:r>
          </w:p>
        </w:tc>
        <w:tc>
          <w:tcPr>
            <w:tcW w:w="0" w:type="auto"/>
            <w:hideMark/>
          </w:tcPr>
          <w:p w14:paraId="4FA98DF7"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lastRenderedPageBreak/>
              <w:t xml:space="preserve">Excludes short interventions, so evidence for new school tools is thin. Confirms the gap for school-age learners and </w:t>
            </w:r>
            <w:r w:rsidRPr="00A75704">
              <w:rPr>
                <w:rFonts w:ascii="Times New Roman" w:eastAsia="Times New Roman" w:hAnsi="Times New Roman" w:cs="Times New Roman"/>
                <w:color w:val="000000" w:themeColor="text1"/>
                <w:kern w:val="0"/>
                <w14:ligatures w14:val="none"/>
              </w:rPr>
              <w:lastRenderedPageBreak/>
              <w:t>recommends guided use instead of ready-made solutions</w:t>
            </w:r>
          </w:p>
        </w:tc>
      </w:tr>
      <w:tr w:rsidR="00A75704" w:rsidRPr="00A75704" w14:paraId="59B2B4C4" w14:textId="77777777" w:rsidTr="00A75704">
        <w:tc>
          <w:tcPr>
            <w:tcW w:w="0" w:type="auto"/>
            <w:hideMark/>
          </w:tcPr>
          <w:p w14:paraId="4F38515B"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lastRenderedPageBreak/>
              <w:t>S5</w:t>
            </w:r>
          </w:p>
        </w:tc>
        <w:tc>
          <w:tcPr>
            <w:tcW w:w="0" w:type="auto"/>
            <w:hideMark/>
          </w:tcPr>
          <w:p w14:paraId="3E95FE0E"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Lu and Zheng, 2025 (ICIEAI, ACM)</w:t>
            </w:r>
          </w:p>
        </w:tc>
        <w:tc>
          <w:tcPr>
            <w:tcW w:w="0" w:type="auto"/>
            <w:hideMark/>
          </w:tcPr>
          <w:p w14:paraId="1B402B71"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Review on Scratch-to-Python transition of children, China</w:t>
            </w:r>
          </w:p>
        </w:tc>
        <w:tc>
          <w:tcPr>
            <w:tcW w:w="0" w:type="auto"/>
            <w:hideMark/>
          </w:tcPr>
          <w:p w14:paraId="07CF450D"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Four-layer scaffolding: diagnosis, task breakdown, real-time tiered feedback, knowledge transfer map</w:t>
            </w:r>
          </w:p>
        </w:tc>
        <w:tc>
          <w:tcPr>
            <w:tcW w:w="0" w:type="auto"/>
            <w:hideMark/>
          </w:tcPr>
          <w:p w14:paraId="3598C3A3"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Reports 81.2% vs 60.5% Python code correctness (n = 48 vs 45) and 33% faster debugging; limitations include short experiments, small samples, hardware demands and lack of offline mode</w:t>
            </w:r>
          </w:p>
        </w:tc>
        <w:tc>
          <w:tcPr>
            <w:tcW w:w="0" w:type="auto"/>
            <w:hideMark/>
          </w:tcPr>
          <w:p w14:paraId="40961BBB"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Experimental figures are reported with little methodological detail and part of the evidence is non-peer-reviewed, so treat them as indicative. Valuable as a design framework for age-appropriate feedback</w:t>
            </w:r>
          </w:p>
        </w:tc>
      </w:tr>
      <w:tr w:rsidR="00A75704" w:rsidRPr="00A75704" w14:paraId="676DA77F" w14:textId="77777777" w:rsidTr="00A75704">
        <w:tc>
          <w:tcPr>
            <w:tcW w:w="0" w:type="auto"/>
            <w:hideMark/>
          </w:tcPr>
          <w:p w14:paraId="37CDA942"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S6</w:t>
            </w:r>
          </w:p>
        </w:tc>
        <w:tc>
          <w:tcPr>
            <w:tcW w:w="0" w:type="auto"/>
            <w:hideMark/>
          </w:tcPr>
          <w:p w14:paraId="67E30B96"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Fan, 2026 (ICER Vol. 2, doctoral consortium, 2 pages)</w:t>
            </w:r>
          </w:p>
        </w:tc>
        <w:tc>
          <w:tcPr>
            <w:tcW w:w="0" w:type="auto"/>
            <w:hideMark/>
          </w:tcPr>
          <w:p w14:paraId="0C4065B1"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PhD research proposal, Aalto University</w:t>
            </w:r>
          </w:p>
        </w:tc>
        <w:tc>
          <w:tcPr>
            <w:tcW w:w="0" w:type="auto"/>
            <w:hideMark/>
          </w:tcPr>
          <w:p w14:paraId="1D89F5DE"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Combine student modeling (knowledge components) with LLMs for personalized feedback</w:t>
            </w:r>
          </w:p>
        </w:tc>
        <w:tc>
          <w:tcPr>
            <w:tcW w:w="0" w:type="auto"/>
            <w:hideMark/>
          </w:tcPr>
          <w:p w14:paraId="50AA12D3"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Preliminary result: LLMs do not consistently outperform traditional machine learning for fine-grained tasks such as knowledge-component identification and cost much more</w:t>
            </w:r>
          </w:p>
        </w:tc>
        <w:tc>
          <w:tcPr>
            <w:tcW w:w="0" w:type="auto"/>
            <w:hideMark/>
          </w:tcPr>
          <w:p w14:paraId="27A105F1"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Short research statement without full results. Supports a hybrid design in which classical ML handles student modeling and the LLM handles explanations</w:t>
            </w:r>
          </w:p>
        </w:tc>
      </w:tr>
      <w:tr w:rsidR="00A75704" w:rsidRPr="00A75704" w14:paraId="38334092" w14:textId="77777777" w:rsidTr="00A75704">
        <w:tc>
          <w:tcPr>
            <w:tcW w:w="0" w:type="auto"/>
            <w:hideMark/>
          </w:tcPr>
          <w:p w14:paraId="74BF8EC5"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S7</w:t>
            </w:r>
          </w:p>
        </w:tc>
        <w:tc>
          <w:tcPr>
            <w:tcW w:w="0" w:type="auto"/>
            <w:hideMark/>
          </w:tcPr>
          <w:p w14:paraId="73D52163"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Na Nongkhai et al., 2026 (Computers and Education: AI)</w:t>
            </w:r>
          </w:p>
        </w:tc>
        <w:tc>
          <w:tcPr>
            <w:tcW w:w="0" w:type="auto"/>
            <w:hideMark/>
          </w:tcPr>
          <w:p w14:paraId="526EBC8A"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Undergraduate IT students, Thailand; 87 students, 15 days, 4,956 submissions</w:t>
            </w:r>
          </w:p>
        </w:tc>
        <w:tc>
          <w:tcPr>
            <w:tcW w:w="0" w:type="auto"/>
            <w:hideMark/>
          </w:tcPr>
          <w:p w14:paraId="7D43D16C"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Three modes of the ADVENTURE system: adaptive (Elo rating), GPT-4 with retrieval over a knowledge graph, hybrid</w:t>
            </w:r>
          </w:p>
        </w:tc>
        <w:tc>
          <w:tcPr>
            <w:tcW w:w="0" w:type="auto"/>
            <w:hideMark/>
          </w:tcPr>
          <w:p w14:paraId="2DC60D87"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 xml:space="preserve">GenAI modes gave more correct and fewer logic-missing submissions than the adaptive mode; hybrid had the highest number of correct submissions; </w:t>
            </w:r>
            <w:r w:rsidRPr="00A75704">
              <w:rPr>
                <w:rFonts w:ascii="Times New Roman" w:eastAsia="Times New Roman" w:hAnsi="Times New Roman" w:cs="Times New Roman"/>
                <w:color w:val="000000" w:themeColor="text1"/>
                <w:kern w:val="0"/>
                <w14:ligatures w14:val="none"/>
              </w:rPr>
              <w:lastRenderedPageBreak/>
              <w:t>GPT-4 often recommended repeated exercises (about 77% in the GenAI group), and in the hybrid group about 72% of learners chose the adaptive recommendation</w:t>
            </w:r>
          </w:p>
        </w:tc>
        <w:tc>
          <w:tcPr>
            <w:tcW w:w="0" w:type="auto"/>
            <w:hideMark/>
          </w:tcPr>
          <w:p w14:paraId="2201C019"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lastRenderedPageBreak/>
              <w:t>Gender imbalance, short period, university novices; no significant difference between GenAI-only and hybrid. Supports combining rule-</w:t>
            </w:r>
            <w:r w:rsidRPr="00A75704">
              <w:rPr>
                <w:rFonts w:ascii="Times New Roman" w:eastAsia="Times New Roman" w:hAnsi="Times New Roman" w:cs="Times New Roman"/>
                <w:color w:val="000000" w:themeColor="text1"/>
                <w:kern w:val="0"/>
                <w14:ligatures w14:val="none"/>
              </w:rPr>
              <w:lastRenderedPageBreak/>
              <w:t>based adaptivity with LLM feedback</w:t>
            </w:r>
          </w:p>
        </w:tc>
      </w:tr>
      <w:tr w:rsidR="00A75704" w:rsidRPr="00A75704" w14:paraId="45B3A4A1" w14:textId="77777777" w:rsidTr="00A75704">
        <w:tc>
          <w:tcPr>
            <w:tcW w:w="0" w:type="auto"/>
            <w:hideMark/>
          </w:tcPr>
          <w:p w14:paraId="2140F170"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lastRenderedPageBreak/>
              <w:t>S8</w:t>
            </w:r>
          </w:p>
        </w:tc>
        <w:tc>
          <w:tcPr>
            <w:tcW w:w="0" w:type="auto"/>
            <w:hideMark/>
          </w:tcPr>
          <w:p w14:paraId="537B2BB4"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Person et al., 2026 (Computers and Education Open)</w:t>
            </w:r>
          </w:p>
        </w:tc>
        <w:tc>
          <w:tcPr>
            <w:tcW w:w="0" w:type="auto"/>
            <w:hideMark/>
          </w:tcPr>
          <w:p w14:paraId="37488650"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215,244 MIT App Inventor projects (block-based)</w:t>
            </w:r>
          </w:p>
        </w:tc>
        <w:tc>
          <w:tcPr>
            <w:tcW w:w="0" w:type="auto"/>
            <w:hideMark/>
          </w:tcPr>
          <w:p w14:paraId="74557071"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Static code analysis and clustering (K-Means, hierarchical) to assign learner levels and recommend next concepts</w:t>
            </w:r>
          </w:p>
        </w:tc>
        <w:tc>
          <w:tcPr>
            <w:tcW w:w="0" w:type="auto"/>
            <w:hideMark/>
          </w:tcPr>
          <w:p w14:paraId="0CC7A6E6"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K-Means with K = 3 gave best cluster quality (SC 0.66, DBI 0.80), but 93% of projects fell into one cluster; levels reflect which blocks (loops, local variables) are used</w:t>
            </w:r>
          </w:p>
        </w:tc>
        <w:tc>
          <w:tcPr>
            <w:tcW w:w="0" w:type="auto"/>
            <w:hideMark/>
          </w:tcPr>
          <w:p w14:paraId="625A852B"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No learner study, so no evidence of learning gain; recommendations are rule-based. Useful for level definition from code metrics</w:t>
            </w:r>
          </w:p>
        </w:tc>
      </w:tr>
      <w:tr w:rsidR="00A75704" w:rsidRPr="00A75704" w14:paraId="15A3EDA7" w14:textId="77777777" w:rsidTr="00A75704">
        <w:tc>
          <w:tcPr>
            <w:tcW w:w="0" w:type="auto"/>
            <w:hideMark/>
          </w:tcPr>
          <w:p w14:paraId="17BF7E72"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S9</w:t>
            </w:r>
          </w:p>
        </w:tc>
        <w:tc>
          <w:tcPr>
            <w:tcW w:w="0" w:type="auto"/>
            <w:hideMark/>
          </w:tcPr>
          <w:p w14:paraId="2862999B"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Tang et al., 2025 (Systems)</w:t>
            </w:r>
          </w:p>
        </w:tc>
        <w:tc>
          <w:tcPr>
            <w:tcW w:w="0" w:type="auto"/>
            <w:hideMark/>
          </w:tcPr>
          <w:p w14:paraId="69ABA001"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Grade 7, China; 103 students, 6 weeks</w:t>
            </w:r>
          </w:p>
        </w:tc>
        <w:tc>
          <w:tcPr>
            <w:tcW w:w="0" w:type="auto"/>
            <w:hideMark/>
          </w:tcPr>
          <w:p w14:paraId="78263840"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Quasi-experiment with iFLYTEK Spark LLM and a question guide, plus interviews with 9 students</w:t>
            </w:r>
          </w:p>
        </w:tc>
        <w:tc>
          <w:tcPr>
            <w:tcW w:w="0" w:type="auto"/>
            <w:hideMark/>
          </w:tcPr>
          <w:p w14:paraId="6D48F30C"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Experimental group scored significantly higher in programming performance, cognitive interest and programming self-efficacy; interviews reported more self-directed and exploratory learning</w:t>
            </w:r>
          </w:p>
        </w:tc>
        <w:tc>
          <w:tcPr>
            <w:tcW w:w="0" w:type="auto"/>
            <w:hideMark/>
          </w:tcPr>
          <w:p w14:paraId="22A100AF"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One school, no random assignment, short duration; Chinese LLM. Strongest direct school-level evidence for Python in lower secondary</w:t>
            </w:r>
          </w:p>
        </w:tc>
      </w:tr>
      <w:tr w:rsidR="00A75704" w:rsidRPr="00A75704" w14:paraId="18CD73C0" w14:textId="77777777" w:rsidTr="00A75704">
        <w:tc>
          <w:tcPr>
            <w:tcW w:w="0" w:type="auto"/>
            <w:hideMark/>
          </w:tcPr>
          <w:p w14:paraId="4CE0DC5C"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S10</w:t>
            </w:r>
          </w:p>
        </w:tc>
        <w:tc>
          <w:tcPr>
            <w:tcW w:w="0" w:type="auto"/>
            <w:hideMark/>
          </w:tcPr>
          <w:p w14:paraId="69729434"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Lai et al., 2026 (Applied Sciences)</w:t>
            </w:r>
          </w:p>
        </w:tc>
        <w:tc>
          <w:tcPr>
            <w:tcW w:w="0" w:type="auto"/>
            <w:hideMark/>
          </w:tcPr>
          <w:p w14:paraId="6BAC8679"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University introductory course, Taiwan; 68 students, 8 weeks</w:t>
            </w:r>
          </w:p>
        </w:tc>
        <w:tc>
          <w:tcPr>
            <w:tcW w:w="0" w:type="auto"/>
            <w:hideMark/>
          </w:tcPr>
          <w:p w14:paraId="54AFCC43"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Game-based system with GPT-4o question generation vs traditional assignments</w:t>
            </w:r>
          </w:p>
        </w:tc>
        <w:tc>
          <w:tcPr>
            <w:tcW w:w="0" w:type="auto"/>
            <w:hideMark/>
          </w:tcPr>
          <w:p w14:paraId="773C0D5D"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 xml:space="preserve">Experimental group kept its score (change -0.5) while control group declined (-33.3); significant Group x Pre-test interaction: benefit appeared </w:t>
            </w:r>
            <w:r w:rsidRPr="00A75704">
              <w:rPr>
                <w:rFonts w:ascii="Times New Roman" w:eastAsia="Times New Roman" w:hAnsi="Times New Roman" w:cs="Times New Roman"/>
                <w:color w:val="000000" w:themeColor="text1"/>
                <w:kern w:val="0"/>
                <w14:ligatures w14:val="none"/>
              </w:rPr>
              <w:lastRenderedPageBreak/>
              <w:t>only above a baseline score of about 20.65 and grew with prior knowledge; positive flow experience</w:t>
            </w:r>
          </w:p>
        </w:tc>
        <w:tc>
          <w:tcPr>
            <w:tcW w:w="0" w:type="auto"/>
            <w:hideMark/>
          </w:tcPr>
          <w:p w14:paraId="55D99F9F"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lastRenderedPageBreak/>
              <w:t xml:space="preserve">Authors stress the effect is conditional, not universal: weak beginners benefited less. Important warning for </w:t>
            </w:r>
            <w:r w:rsidRPr="00A75704">
              <w:rPr>
                <w:rFonts w:ascii="Times New Roman" w:eastAsia="Times New Roman" w:hAnsi="Times New Roman" w:cs="Times New Roman"/>
                <w:color w:val="000000" w:themeColor="text1"/>
                <w:kern w:val="0"/>
                <w14:ligatures w14:val="none"/>
              </w:rPr>
              <w:lastRenderedPageBreak/>
              <w:t>novices and children</w:t>
            </w:r>
          </w:p>
        </w:tc>
      </w:tr>
      <w:tr w:rsidR="00A75704" w:rsidRPr="00A75704" w14:paraId="101C4ED0" w14:textId="77777777" w:rsidTr="00A75704">
        <w:tc>
          <w:tcPr>
            <w:tcW w:w="0" w:type="auto"/>
            <w:hideMark/>
          </w:tcPr>
          <w:p w14:paraId="1CDE5030"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lastRenderedPageBreak/>
              <w:t>S11</w:t>
            </w:r>
          </w:p>
        </w:tc>
        <w:tc>
          <w:tcPr>
            <w:tcW w:w="0" w:type="auto"/>
            <w:hideMark/>
          </w:tcPr>
          <w:p w14:paraId="17B70733"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Huesca et al., 2026 (Education Sciences)</w:t>
            </w:r>
          </w:p>
        </w:tc>
        <w:tc>
          <w:tcPr>
            <w:tcW w:w="0" w:type="auto"/>
            <w:hideMark/>
          </w:tcPr>
          <w:p w14:paraId="639BE71F"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Undergraduate engineering, Mexico; 648 students, 53 groups, 10 campuses</w:t>
            </w:r>
          </w:p>
        </w:tc>
        <w:tc>
          <w:tcPr>
            <w:tcW w:w="0" w:type="auto"/>
            <w:hideMark/>
          </w:tcPr>
          <w:p w14:paraId="6EFE87EB"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Multi-group quasi-experiment comparing four GenAI-supported teaching strategies, mixed-effects model</w:t>
            </w:r>
          </w:p>
        </w:tc>
        <w:tc>
          <w:tcPr>
            <w:tcW w:w="0" w:type="auto"/>
            <w:hideMark/>
          </w:tcPr>
          <w:p w14:paraId="35B145A5"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Instructional strategy was the strongest predictor of learning gain, then academic program and frustration; demographics and intention to use GenAI were not significant</w:t>
            </w:r>
          </w:p>
        </w:tc>
        <w:tc>
          <w:tcPr>
            <w:tcW w:w="0" w:type="auto"/>
            <w:hideMark/>
          </w:tcPr>
          <w:p w14:paraId="6CC9ADC5"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Higher education only. Shows that pedagogical design matters more than the mere presence of GenAI</w:t>
            </w:r>
          </w:p>
        </w:tc>
      </w:tr>
      <w:tr w:rsidR="00A75704" w:rsidRPr="00A75704" w14:paraId="68F7DDF1" w14:textId="77777777" w:rsidTr="00A75704">
        <w:tc>
          <w:tcPr>
            <w:tcW w:w="0" w:type="auto"/>
            <w:hideMark/>
          </w:tcPr>
          <w:p w14:paraId="290838C9"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S12</w:t>
            </w:r>
          </w:p>
        </w:tc>
        <w:tc>
          <w:tcPr>
            <w:tcW w:w="0" w:type="auto"/>
            <w:hideMark/>
          </w:tcPr>
          <w:p w14:paraId="3B774BD7"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Katona and Gyonyoru, 2026 (Journal of Computers in Education)</w:t>
            </w:r>
          </w:p>
        </w:tc>
        <w:tc>
          <w:tcPr>
            <w:tcW w:w="0" w:type="auto"/>
            <w:hideMark/>
          </w:tcPr>
          <w:p w14:paraId="6AA54242"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Systematic review, 29 empirical studies from Scopus (2010–2023)</w:t>
            </w:r>
          </w:p>
        </w:tc>
        <w:tc>
          <w:tcPr>
            <w:tcW w:w="0" w:type="auto"/>
            <w:hideMark/>
          </w:tcPr>
          <w:p w14:paraId="60EBBEEF"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Flipped classroom, gamification, project-based and collaborative learning with AI-based tools</w:t>
            </w:r>
          </w:p>
        </w:tc>
        <w:tc>
          <w:tcPr>
            <w:tcW w:w="0" w:type="auto"/>
            <w:hideMark/>
          </w:tcPr>
          <w:p w14:paraId="4F08B250"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Adaptive platforms, automated feedback and collaborative tools support active and self-regulated learning; effects depend on scaffolding, accessibility and balanced motivation</w:t>
            </w:r>
          </w:p>
        </w:tc>
        <w:tc>
          <w:tcPr>
            <w:tcW w:w="0" w:type="auto"/>
            <w:hideMark/>
          </w:tcPr>
          <w:p w14:paraId="1BAD7896" w14:textId="77777777" w:rsidR="00A75704" w:rsidRPr="00A75704" w:rsidRDefault="00A75704" w:rsidP="00A75704">
            <w:pPr>
              <w:spacing w:before="100" w:beforeAutospacing="1" w:after="100" w:afterAutospacing="1"/>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Search ends in 2023, so the GenAI wave is barely covered; mixed contexts. Supports combining feedback with structured practice</w:t>
            </w:r>
          </w:p>
        </w:tc>
      </w:tr>
    </w:tbl>
    <w:p w14:paraId="080A6363" w14:textId="77777777" w:rsidR="00A75704" w:rsidRPr="00A75704" w:rsidRDefault="00A75704" w:rsidP="00A7570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A75704">
        <w:rPr>
          <w:rFonts w:ascii="Times New Roman" w:eastAsia="Times New Roman" w:hAnsi="Times New Roman" w:cs="Times New Roman"/>
          <w:b/>
          <w:bCs/>
          <w:color w:val="000000" w:themeColor="text1"/>
          <w:kern w:val="0"/>
          <w:sz w:val="36"/>
          <w:szCs w:val="36"/>
          <w14:ligatures w14:val="none"/>
        </w:rPr>
        <w:t>4. Critical synthesis</w:t>
      </w:r>
    </w:p>
    <w:p w14:paraId="1193719C" w14:textId="77777777" w:rsidR="00A75704" w:rsidRPr="00A75704" w:rsidRDefault="00A75704" w:rsidP="00A75704">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A75704">
        <w:rPr>
          <w:rFonts w:ascii="Times New Roman" w:eastAsia="Times New Roman" w:hAnsi="Times New Roman" w:cs="Times New Roman"/>
          <w:b/>
          <w:bCs/>
          <w:color w:val="000000" w:themeColor="text1"/>
          <w:kern w:val="0"/>
          <w:sz w:val="27"/>
          <w:szCs w:val="27"/>
          <w14:ligatures w14:val="none"/>
        </w:rPr>
        <w:t>4.1 GenAI in programming education: promising but uneven</w:t>
      </w:r>
    </w:p>
    <w:p w14:paraId="607A1A54"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Across the sources GenAI is generally associated with better practice outcomes, more confidence and more engagement (S2, S7, S9, S10). However, the evidence base is dominated by university students: in the systematic review by Özgül (S4) about 81% of studies were undergraduate and only 11% involved middle or high school. Findings are also not uniform. Lai et al. (S10) found benefits that depended on prior knowledge, and Huesca et al. (S11), in a much larger sample, found that how GenAI is embedded in instruction predicts learning gain better than students’ attitudes or demographics. The practical conclusion is that a chatbot alone is not a learning design; the surrounding pedagogy has to be designed.</w:t>
      </w:r>
    </w:p>
    <w:p w14:paraId="4750EC3F" w14:textId="77777777" w:rsidR="00A75704" w:rsidRPr="00A75704" w:rsidRDefault="00A75704" w:rsidP="00A75704">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A75704">
        <w:rPr>
          <w:rFonts w:ascii="Times New Roman" w:eastAsia="Times New Roman" w:hAnsi="Times New Roman" w:cs="Times New Roman"/>
          <w:b/>
          <w:bCs/>
          <w:color w:val="000000" w:themeColor="text1"/>
          <w:kern w:val="0"/>
          <w:sz w:val="27"/>
          <w:szCs w:val="27"/>
          <w14:ligatures w14:val="none"/>
        </w:rPr>
        <w:lastRenderedPageBreak/>
        <w:t>4.2 Evidence from school-age learners</w:t>
      </w:r>
    </w:p>
    <w:p w14:paraId="0683FDAA"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Direct evidence for lower secondary students is limited to two quasi-experiments (S2 with Grade 8, S9 with Grade 7), one small qualitative study (S3) and one tool paper without learner data (S1), plus a narrative review of children’s Scratch-to-Python transition (S5). The two quasi-experiments report positive effects on engagement (S2) and on performance, interest and self-efficacy (S9), but both are short (4 and 6 weeks), single-school, not randomized, and take place in China. S2 measured engagement rather than achievement. None of these studies includes a teacher-facing component or measures teacher workload, which was the original motivation for this project.</w:t>
      </w:r>
    </w:p>
    <w:p w14:paraId="10A70EE5" w14:textId="77777777" w:rsidR="00A75704" w:rsidRPr="00A75704" w:rsidRDefault="00A75704" w:rsidP="00A75704">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A75704">
        <w:rPr>
          <w:rFonts w:ascii="Times New Roman" w:eastAsia="Times New Roman" w:hAnsi="Times New Roman" w:cs="Times New Roman"/>
          <w:b/>
          <w:bCs/>
          <w:color w:val="000000" w:themeColor="text1"/>
          <w:kern w:val="0"/>
          <w:sz w:val="27"/>
          <w:szCs w:val="27"/>
          <w14:ligatures w14:val="none"/>
        </w:rPr>
        <w:t>4.3 Personalization and adaptivity</w:t>
      </w:r>
    </w:p>
    <w:p w14:paraId="73F31A24"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The sources show four distinct ways to personalize. (a) Rule-based adaptive sequencing, for example the Elo rating in S7, selects exercises by estimated skill. (b) Knowledge-graph or knowledge-component models (S6, S7) link exercises to concepts so that feedback and next steps target specific gaps. (c) Unsupervised clustering of learner artifacts (S8) assigns learners to levels from code metrics. (d) LLM-based generation of tasks and feedback (S1, S7, S10) adapts content directly. The comparison in S7 suggests the approaches are complementary: when GPT-4 was left to choose the next exercise it often repeated completed tasks, and learners in the hybrid mode frequently preferred the adaptive suggestion, while GenAI feedback was rated helpful. Fan (S6) also reports that classical ML can match or beat LLMs for fine-grained student modeling at much lower cost. Together these results favor a hybrid architecture instead of an LLM-only design.</w:t>
      </w:r>
    </w:p>
    <w:p w14:paraId="503EC4B3" w14:textId="77777777" w:rsidR="00A75704" w:rsidRPr="00A75704" w:rsidRDefault="00A75704" w:rsidP="00A75704">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A75704">
        <w:rPr>
          <w:rFonts w:ascii="Times New Roman" w:eastAsia="Times New Roman" w:hAnsi="Times New Roman" w:cs="Times New Roman"/>
          <w:b/>
          <w:bCs/>
          <w:color w:val="000000" w:themeColor="text1"/>
          <w:kern w:val="0"/>
          <w:sz w:val="27"/>
          <w:szCs w:val="27"/>
          <w14:ligatures w14:val="none"/>
        </w:rPr>
        <w:t>4.4 Feedback design and scaffolding</w:t>
      </w:r>
    </w:p>
    <w:p w14:paraId="130CD6FB"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Students valued feedback that explains where and why code is wrong, not only whether tests pass (S7). Lu and Zheng (S5) propose tiered feedback: hints and guiding questions for novices, exploratory questions for advanced students, and a knowledge map linking new concepts to previous ones. Özgül (S4) recommends that tools guide problem solving instead of giving ready-made solutions, because of over-dependence and plagiarism risks; the interviews in S2 show that dependency concerns are already present at Grade 8. The age-specific literature therefore points to scaffolded, hint-first feedback as a design requirement rather than an option.</w:t>
      </w:r>
    </w:p>
    <w:p w14:paraId="6EA00764" w14:textId="77777777" w:rsidR="00A75704" w:rsidRPr="00A75704" w:rsidRDefault="00A75704" w:rsidP="00A75704">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A75704">
        <w:rPr>
          <w:rFonts w:ascii="Times New Roman" w:eastAsia="Times New Roman" w:hAnsi="Times New Roman" w:cs="Times New Roman"/>
          <w:b/>
          <w:bCs/>
          <w:color w:val="000000" w:themeColor="text1"/>
          <w:kern w:val="0"/>
          <w:sz w:val="27"/>
          <w:szCs w:val="27"/>
          <w14:ligatures w14:val="none"/>
        </w:rPr>
        <w:t>4.5 Engagement, motivation and gamification</w:t>
      </w:r>
    </w:p>
    <w:p w14:paraId="0C48679D"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Gamification, competition and tangible progress indicators motivated 12-year-olds in S3 and contributed to a positive flow experience in S10. S2 and S9 report higher cognitive and emotional engagement or interest with GenAI support. At the same time, S3 notes that flexibility in online courses is a completion risk, and that learners want live human support. Katona and Gyonyoru (S12) add that motivation features work best when combined with structured practice and teacher-led activities.</w:t>
      </w:r>
    </w:p>
    <w:p w14:paraId="50BBB53F" w14:textId="77777777" w:rsidR="00A75704" w:rsidRPr="00A75704" w:rsidRDefault="00A75704" w:rsidP="00A75704">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A75704">
        <w:rPr>
          <w:rFonts w:ascii="Times New Roman" w:eastAsia="Times New Roman" w:hAnsi="Times New Roman" w:cs="Times New Roman"/>
          <w:b/>
          <w:bCs/>
          <w:color w:val="000000" w:themeColor="text1"/>
          <w:kern w:val="0"/>
          <w:sz w:val="27"/>
          <w:szCs w:val="27"/>
          <w14:ligatures w14:val="none"/>
        </w:rPr>
        <w:t>4.6 Risks and limitations reported</w:t>
      </w:r>
    </w:p>
    <w:p w14:paraId="4C25091A" w14:textId="77777777" w:rsidR="00A75704" w:rsidRPr="00A75704" w:rsidRDefault="00A75704" w:rsidP="00A75704">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lastRenderedPageBreak/>
        <w:t>Accuracy and quality control.</w:t>
      </w:r>
      <w:r w:rsidRPr="00A75704">
        <w:rPr>
          <w:rFonts w:ascii="Times New Roman" w:eastAsia="Times New Roman" w:hAnsi="Times New Roman" w:cs="Times New Roman"/>
          <w:color w:val="000000" w:themeColor="text1"/>
          <w:kern w:val="0"/>
          <w14:ligatures w14:val="none"/>
        </w:rPr>
        <w:t> LLM-generated tasks were uneven: S1 found imbalanced difficulty (only 8% high), repeated scenarios and missing outputs, and S7 found repeated recommendations despite explicit prompt instructions.</w:t>
      </w:r>
    </w:p>
    <w:p w14:paraId="43DB14C5" w14:textId="77777777" w:rsidR="00A75704" w:rsidRPr="00A75704" w:rsidRDefault="00A75704" w:rsidP="00A75704">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Over-reliance and academic integrity.</w:t>
      </w:r>
      <w:r w:rsidRPr="00A75704">
        <w:rPr>
          <w:rFonts w:ascii="Times New Roman" w:eastAsia="Times New Roman" w:hAnsi="Times New Roman" w:cs="Times New Roman"/>
          <w:color w:val="000000" w:themeColor="text1"/>
          <w:kern w:val="0"/>
          <w14:ligatures w14:val="none"/>
        </w:rPr>
        <w:t> Reported in S2, S4 and discussed as a general risk in S12.</w:t>
      </w:r>
    </w:p>
    <w:p w14:paraId="46B899BD" w14:textId="77777777" w:rsidR="00A75704" w:rsidRPr="00A75704" w:rsidRDefault="00A75704" w:rsidP="00A75704">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Conditional benefits.</w:t>
      </w:r>
      <w:r w:rsidRPr="00A75704">
        <w:rPr>
          <w:rFonts w:ascii="Times New Roman" w:eastAsia="Times New Roman" w:hAnsi="Times New Roman" w:cs="Times New Roman"/>
          <w:color w:val="000000" w:themeColor="text1"/>
          <w:kern w:val="0"/>
          <w14:ligatures w14:val="none"/>
        </w:rPr>
        <w:t> Weak beginners gained less in S10, which matters for novice school students.</w:t>
      </w:r>
    </w:p>
    <w:p w14:paraId="32EECF23" w14:textId="77777777" w:rsidR="00A75704" w:rsidRPr="00A75704" w:rsidRDefault="00A75704" w:rsidP="00A75704">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Methodological weakness.</w:t>
      </w:r>
      <w:r w:rsidRPr="00A75704">
        <w:rPr>
          <w:rFonts w:ascii="Times New Roman" w:eastAsia="Times New Roman" w:hAnsi="Times New Roman" w:cs="Times New Roman"/>
          <w:color w:val="000000" w:themeColor="text1"/>
          <w:kern w:val="0"/>
          <w14:ligatures w14:val="none"/>
        </w:rPr>
        <w:t> Short interventions (15 days to 8 weeks), small and single-site samples, non-random assignment and novelty effects are common (S2, S3, S7, S9, S10).</w:t>
      </w:r>
    </w:p>
    <w:p w14:paraId="0E8D45A3" w14:textId="77777777" w:rsidR="00A75704" w:rsidRPr="00A75704" w:rsidRDefault="00A75704" w:rsidP="00A75704">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Evaluation circularity.</w:t>
      </w:r>
      <w:r w:rsidRPr="00A75704">
        <w:rPr>
          <w:rFonts w:ascii="Times New Roman" w:eastAsia="Times New Roman" w:hAnsi="Times New Roman" w:cs="Times New Roman"/>
          <w:color w:val="000000" w:themeColor="text1"/>
          <w:kern w:val="0"/>
          <w14:ligatures w14:val="none"/>
        </w:rPr>
        <w:t> S1 used ChatGPT to help evaluate ChatGPT-generated problems.</w:t>
      </w:r>
    </w:p>
    <w:p w14:paraId="5CB54279" w14:textId="77777777" w:rsidR="00A75704" w:rsidRPr="00A75704" w:rsidRDefault="00A75704" w:rsidP="00A75704">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Cost and infrastructure.</w:t>
      </w:r>
      <w:r w:rsidRPr="00A75704">
        <w:rPr>
          <w:rFonts w:ascii="Times New Roman" w:eastAsia="Times New Roman" w:hAnsi="Times New Roman" w:cs="Times New Roman"/>
          <w:color w:val="000000" w:themeColor="text1"/>
          <w:kern w:val="0"/>
          <w14:ligatures w14:val="none"/>
        </w:rPr>
        <w:t> LLMs are expensive compared with classical ML (S6), and S5 notes hardware and offline limitations in schools.</w:t>
      </w:r>
    </w:p>
    <w:p w14:paraId="30C40801" w14:textId="77777777" w:rsidR="00A75704" w:rsidRPr="00A75704" w:rsidRDefault="00A75704" w:rsidP="00A7570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A75704">
        <w:rPr>
          <w:rFonts w:ascii="Times New Roman" w:eastAsia="Times New Roman" w:hAnsi="Times New Roman" w:cs="Times New Roman"/>
          <w:b/>
          <w:bCs/>
          <w:color w:val="000000" w:themeColor="text1"/>
          <w:kern w:val="0"/>
          <w:sz w:val="36"/>
          <w:szCs w:val="36"/>
          <w14:ligatures w14:val="none"/>
        </w:rPr>
        <w:t>5. Comparison of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825"/>
        <w:gridCol w:w="2640"/>
        <w:gridCol w:w="2910"/>
      </w:tblGrid>
      <w:tr w:rsidR="00A75704" w:rsidRPr="00A75704" w14:paraId="0101D522" w14:textId="77777777">
        <w:trPr>
          <w:tblCellSpacing w:w="15" w:type="dxa"/>
        </w:trPr>
        <w:tc>
          <w:tcPr>
            <w:tcW w:w="0" w:type="auto"/>
            <w:vAlign w:val="center"/>
            <w:hideMark/>
          </w:tcPr>
          <w:p w14:paraId="6B73E55A" w14:textId="77777777" w:rsidR="00A75704" w:rsidRPr="00A75704" w:rsidRDefault="00A75704" w:rsidP="00A75704">
            <w:pPr>
              <w:spacing w:before="100" w:beforeAutospacing="1" w:after="100" w:afterAutospacing="1" w:line="240" w:lineRule="auto"/>
              <w:jc w:val="center"/>
              <w:rPr>
                <w:rFonts w:ascii="Times New Roman" w:eastAsia="Times New Roman" w:hAnsi="Times New Roman" w:cs="Times New Roman"/>
                <w:b/>
                <w:bCs/>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Approach</w:t>
            </w:r>
          </w:p>
        </w:tc>
        <w:tc>
          <w:tcPr>
            <w:tcW w:w="0" w:type="auto"/>
            <w:vAlign w:val="center"/>
            <w:hideMark/>
          </w:tcPr>
          <w:p w14:paraId="5832A97A" w14:textId="77777777" w:rsidR="00A75704" w:rsidRPr="00A75704" w:rsidRDefault="00A75704" w:rsidP="00A75704">
            <w:pPr>
              <w:spacing w:before="100" w:beforeAutospacing="1" w:after="100" w:afterAutospacing="1" w:line="240" w:lineRule="auto"/>
              <w:jc w:val="center"/>
              <w:rPr>
                <w:rFonts w:ascii="Times New Roman" w:eastAsia="Times New Roman" w:hAnsi="Times New Roman" w:cs="Times New Roman"/>
                <w:b/>
                <w:bCs/>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Representative sources</w:t>
            </w:r>
          </w:p>
        </w:tc>
        <w:tc>
          <w:tcPr>
            <w:tcW w:w="0" w:type="auto"/>
            <w:vAlign w:val="center"/>
            <w:hideMark/>
          </w:tcPr>
          <w:p w14:paraId="2A9C89DC" w14:textId="77777777" w:rsidR="00A75704" w:rsidRPr="00A75704" w:rsidRDefault="00A75704" w:rsidP="00A75704">
            <w:pPr>
              <w:spacing w:before="100" w:beforeAutospacing="1" w:after="100" w:afterAutospacing="1" w:line="240" w:lineRule="auto"/>
              <w:jc w:val="center"/>
              <w:rPr>
                <w:rFonts w:ascii="Times New Roman" w:eastAsia="Times New Roman" w:hAnsi="Times New Roman" w:cs="Times New Roman"/>
                <w:b/>
                <w:bCs/>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Strengths</w:t>
            </w:r>
          </w:p>
        </w:tc>
        <w:tc>
          <w:tcPr>
            <w:tcW w:w="0" w:type="auto"/>
            <w:vAlign w:val="center"/>
            <w:hideMark/>
          </w:tcPr>
          <w:p w14:paraId="52617CE9" w14:textId="77777777" w:rsidR="00A75704" w:rsidRPr="00A75704" w:rsidRDefault="00A75704" w:rsidP="00A75704">
            <w:pPr>
              <w:spacing w:before="100" w:beforeAutospacing="1" w:after="100" w:afterAutospacing="1" w:line="240" w:lineRule="auto"/>
              <w:jc w:val="center"/>
              <w:rPr>
                <w:rFonts w:ascii="Times New Roman" w:eastAsia="Times New Roman" w:hAnsi="Times New Roman" w:cs="Times New Roman"/>
                <w:b/>
                <w:bCs/>
                <w:color w:val="000000" w:themeColor="text1"/>
                <w:kern w:val="0"/>
                <w14:ligatures w14:val="none"/>
              </w:rPr>
            </w:pPr>
            <w:r w:rsidRPr="00A75704">
              <w:rPr>
                <w:rFonts w:ascii="Times New Roman" w:eastAsia="Times New Roman" w:hAnsi="Times New Roman" w:cs="Times New Roman"/>
                <w:b/>
                <w:bCs/>
                <w:color w:val="000000" w:themeColor="text1"/>
                <w:kern w:val="0"/>
                <w14:ligatures w14:val="none"/>
              </w:rPr>
              <w:t>Weaknesses</w:t>
            </w:r>
          </w:p>
        </w:tc>
      </w:tr>
      <w:tr w:rsidR="00A75704" w:rsidRPr="00A75704" w14:paraId="42468546" w14:textId="77777777">
        <w:trPr>
          <w:tblCellSpacing w:w="15" w:type="dxa"/>
        </w:trPr>
        <w:tc>
          <w:tcPr>
            <w:tcW w:w="0" w:type="auto"/>
            <w:vAlign w:val="center"/>
            <w:hideMark/>
          </w:tcPr>
          <w:p w14:paraId="3E5A2EB3"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Unit-test based adaptive practice</w:t>
            </w:r>
          </w:p>
        </w:tc>
        <w:tc>
          <w:tcPr>
            <w:tcW w:w="0" w:type="auto"/>
            <w:vAlign w:val="center"/>
            <w:hideMark/>
          </w:tcPr>
          <w:p w14:paraId="24BE6F75"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S7 (adaptive mode)</w:t>
            </w:r>
          </w:p>
        </w:tc>
        <w:tc>
          <w:tcPr>
            <w:tcW w:w="0" w:type="auto"/>
            <w:vAlign w:val="center"/>
            <w:hideMark/>
          </w:tcPr>
          <w:p w14:paraId="38C6A60F"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Transparent, cheap, reliable correctness checking</w:t>
            </w:r>
          </w:p>
        </w:tc>
        <w:tc>
          <w:tcPr>
            <w:tcW w:w="0" w:type="auto"/>
            <w:vAlign w:val="center"/>
            <w:hideMark/>
          </w:tcPr>
          <w:p w14:paraId="37DD5D06"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Little explanation of errors; learners ask for more detail</w:t>
            </w:r>
          </w:p>
        </w:tc>
      </w:tr>
      <w:tr w:rsidR="00A75704" w:rsidRPr="00A75704" w14:paraId="47B56950" w14:textId="77777777">
        <w:trPr>
          <w:tblCellSpacing w:w="15" w:type="dxa"/>
        </w:trPr>
        <w:tc>
          <w:tcPr>
            <w:tcW w:w="0" w:type="auto"/>
            <w:vAlign w:val="center"/>
            <w:hideMark/>
          </w:tcPr>
          <w:p w14:paraId="26739CF5"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Clustering of learner code</w:t>
            </w:r>
          </w:p>
        </w:tc>
        <w:tc>
          <w:tcPr>
            <w:tcW w:w="0" w:type="auto"/>
            <w:vAlign w:val="center"/>
            <w:hideMark/>
          </w:tcPr>
          <w:p w14:paraId="3C592444"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S8</w:t>
            </w:r>
          </w:p>
        </w:tc>
        <w:tc>
          <w:tcPr>
            <w:tcW w:w="0" w:type="auto"/>
            <w:vAlign w:val="center"/>
            <w:hideMark/>
          </w:tcPr>
          <w:p w14:paraId="42D1268F"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Scalable, interpretable levels, no labels needed</w:t>
            </w:r>
          </w:p>
        </w:tc>
        <w:tc>
          <w:tcPr>
            <w:tcW w:w="0" w:type="auto"/>
            <w:vAlign w:val="center"/>
            <w:hideMark/>
          </w:tcPr>
          <w:p w14:paraId="6CC11E54"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Describes code artifacts only, no learning evidence; cluster imbalance</w:t>
            </w:r>
          </w:p>
        </w:tc>
      </w:tr>
      <w:tr w:rsidR="00A75704" w:rsidRPr="00A75704" w14:paraId="4591DA95" w14:textId="77777777">
        <w:trPr>
          <w:tblCellSpacing w:w="15" w:type="dxa"/>
        </w:trPr>
        <w:tc>
          <w:tcPr>
            <w:tcW w:w="0" w:type="auto"/>
            <w:vAlign w:val="center"/>
            <w:hideMark/>
          </w:tcPr>
          <w:p w14:paraId="1595F204"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LLM feedback and task generation</w:t>
            </w:r>
          </w:p>
        </w:tc>
        <w:tc>
          <w:tcPr>
            <w:tcW w:w="0" w:type="auto"/>
            <w:vAlign w:val="center"/>
            <w:hideMark/>
          </w:tcPr>
          <w:p w14:paraId="34722FA9"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S1, S7, S9, S10</w:t>
            </w:r>
          </w:p>
        </w:tc>
        <w:tc>
          <w:tcPr>
            <w:tcW w:w="0" w:type="auto"/>
            <w:vAlign w:val="center"/>
            <w:hideMark/>
          </w:tcPr>
          <w:p w14:paraId="1B9B46AE"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Rich explanations, flexible tasks, positive learner perceptions</w:t>
            </w:r>
          </w:p>
        </w:tc>
        <w:tc>
          <w:tcPr>
            <w:tcW w:w="0" w:type="auto"/>
            <w:vAlign w:val="center"/>
            <w:hideMark/>
          </w:tcPr>
          <w:p w14:paraId="2EF34459"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Hallucination risk, repeated or badly balanced tasks, dependency</w:t>
            </w:r>
          </w:p>
        </w:tc>
      </w:tr>
      <w:tr w:rsidR="00A75704" w:rsidRPr="00A75704" w14:paraId="77C30DB6" w14:textId="77777777">
        <w:trPr>
          <w:tblCellSpacing w:w="15" w:type="dxa"/>
        </w:trPr>
        <w:tc>
          <w:tcPr>
            <w:tcW w:w="0" w:type="auto"/>
            <w:vAlign w:val="center"/>
            <w:hideMark/>
          </w:tcPr>
          <w:p w14:paraId="077B4E37"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Hybrid adaptive plus LLM</w:t>
            </w:r>
          </w:p>
        </w:tc>
        <w:tc>
          <w:tcPr>
            <w:tcW w:w="0" w:type="auto"/>
            <w:vAlign w:val="center"/>
            <w:hideMark/>
          </w:tcPr>
          <w:p w14:paraId="20743D6B"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S6, S7</w:t>
            </w:r>
          </w:p>
        </w:tc>
        <w:tc>
          <w:tcPr>
            <w:tcW w:w="0" w:type="auto"/>
            <w:vAlign w:val="center"/>
            <w:hideMark/>
          </w:tcPr>
          <w:p w14:paraId="2664F682"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Best submission outcomes in S7, lower cost, controllable</w:t>
            </w:r>
          </w:p>
        </w:tc>
        <w:tc>
          <w:tcPr>
            <w:tcW w:w="0" w:type="auto"/>
            <w:vAlign w:val="center"/>
            <w:hideMark/>
          </w:tcPr>
          <w:p w14:paraId="0A519B64"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More complex system; evidence is from university students</w:t>
            </w:r>
          </w:p>
        </w:tc>
      </w:tr>
      <w:tr w:rsidR="00A75704" w:rsidRPr="00A75704" w14:paraId="38CF744D" w14:textId="77777777">
        <w:trPr>
          <w:tblCellSpacing w:w="15" w:type="dxa"/>
        </w:trPr>
        <w:tc>
          <w:tcPr>
            <w:tcW w:w="0" w:type="auto"/>
            <w:vAlign w:val="center"/>
            <w:hideMark/>
          </w:tcPr>
          <w:p w14:paraId="10F1FCC6"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Gamified and community-based design</w:t>
            </w:r>
          </w:p>
        </w:tc>
        <w:tc>
          <w:tcPr>
            <w:tcW w:w="0" w:type="auto"/>
            <w:vAlign w:val="center"/>
            <w:hideMark/>
          </w:tcPr>
          <w:p w14:paraId="2E7B02EF"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S3, S10, S12</w:t>
            </w:r>
          </w:p>
        </w:tc>
        <w:tc>
          <w:tcPr>
            <w:tcW w:w="0" w:type="auto"/>
            <w:vAlign w:val="center"/>
            <w:hideMark/>
          </w:tcPr>
          <w:p w14:paraId="402C5DD8"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Motivation, flow, persistence</w:t>
            </w:r>
          </w:p>
        </w:tc>
        <w:tc>
          <w:tcPr>
            <w:tcW w:w="0" w:type="auto"/>
            <w:vAlign w:val="center"/>
            <w:hideMark/>
          </w:tcPr>
          <w:p w14:paraId="01190B34"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Benefits can depend on prior knowledge; needs teacher presence</w:t>
            </w:r>
          </w:p>
        </w:tc>
      </w:tr>
    </w:tbl>
    <w:p w14:paraId="09AD8079" w14:textId="77777777" w:rsidR="00A75704" w:rsidRPr="00A75704" w:rsidRDefault="00A75704" w:rsidP="00A7570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A75704">
        <w:rPr>
          <w:rFonts w:ascii="Times New Roman" w:eastAsia="Times New Roman" w:hAnsi="Times New Roman" w:cs="Times New Roman"/>
          <w:b/>
          <w:bCs/>
          <w:color w:val="000000" w:themeColor="text1"/>
          <w:kern w:val="0"/>
          <w:sz w:val="36"/>
          <w:szCs w:val="36"/>
          <w14:ligatures w14:val="none"/>
        </w:rPr>
        <w:t>6. Research gaps</w:t>
      </w:r>
    </w:p>
    <w:p w14:paraId="6026605F" w14:textId="77777777" w:rsidR="00A75704" w:rsidRPr="00A75704" w:rsidRDefault="00A75704" w:rsidP="00A7570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Very few controlled studies of AI-supported programming platforms for Grades 6–8; most evidence comes from university students (S4).</w:t>
      </w:r>
    </w:p>
    <w:p w14:paraId="3B4C021D" w14:textId="77777777" w:rsidR="00A75704" w:rsidRPr="00A75704" w:rsidRDefault="00A75704" w:rsidP="00A7570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Existing school studies measure short-term engagement or test scores in a single school; long-term outcomes are unknown (S2, S9).</w:t>
      </w:r>
    </w:p>
    <w:p w14:paraId="6DF9F80F" w14:textId="77777777" w:rsidR="00A75704" w:rsidRPr="00A75704" w:rsidRDefault="00A75704" w:rsidP="00A7570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Most systems combine either adaptivity or LLM feedback; few integrate student modeling, difficulty-controlled task generation and hint-first feedback in one platform for children (S6, S7).</w:t>
      </w:r>
    </w:p>
    <w:p w14:paraId="29AE5C60" w14:textId="77777777" w:rsidR="00A75704" w:rsidRPr="00A75704" w:rsidRDefault="00A75704" w:rsidP="00A7570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lastRenderedPageBreak/>
        <w:t>Teacher-facing support, such as dashboards that show which students need help, is almost absent from the school-level studies, although teacher capacity is a core problem.</w:t>
      </w:r>
    </w:p>
    <w:p w14:paraId="211A8B32" w14:textId="77777777" w:rsidR="00A75704" w:rsidRPr="00A75704" w:rsidRDefault="00A75704" w:rsidP="00A7570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Evidence from Central Asian or Russian-speaking educational contexts is not present in the reviewed sources.</w:t>
      </w:r>
    </w:p>
    <w:p w14:paraId="125AB91C" w14:textId="77777777" w:rsidR="00A75704" w:rsidRPr="00A75704" w:rsidRDefault="00A75704" w:rsidP="00A7570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A75704">
        <w:rPr>
          <w:rFonts w:ascii="Times New Roman" w:eastAsia="Times New Roman" w:hAnsi="Times New Roman" w:cs="Times New Roman"/>
          <w:b/>
          <w:bCs/>
          <w:color w:val="000000" w:themeColor="text1"/>
          <w:kern w:val="0"/>
          <w:sz w:val="36"/>
          <w:szCs w:val="36"/>
          <w14:ligatures w14:val="none"/>
        </w:rPr>
        <w:t>7. Implications for the project</w:t>
      </w:r>
    </w:p>
    <w:p w14:paraId="3D7C26A3"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The following are design hypotheses derived from the evidence, to be tested through requirements, the verification plan and user discussions.</w:t>
      </w:r>
    </w:p>
    <w:p w14:paraId="5EE30F48" w14:textId="77777777" w:rsidR="00A75704" w:rsidRPr="00A75704" w:rsidRDefault="00A75704" w:rsidP="00A75704">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Use a hybrid architecture: rule-based or ML student modeling decides the next task level, while the LLM explains errors and generates hints (S6, S7).</w:t>
      </w:r>
    </w:p>
    <w:p w14:paraId="47CE35B7" w14:textId="77777777" w:rsidR="00A75704" w:rsidRPr="00A75704" w:rsidRDefault="00A75704" w:rsidP="00A75704">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Make the AI assistant hint-first: guiding questions before explanations, and no complete solution by default (S4, S5).</w:t>
      </w:r>
    </w:p>
    <w:p w14:paraId="4CEF9149" w14:textId="77777777" w:rsidR="00A75704" w:rsidRPr="00A75704" w:rsidRDefault="00A75704" w:rsidP="00A75704">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Control difficulty and quality of generated tasks with explicit difficulty criteria and validation before tasks reach students (S1, S7).</w:t>
      </w:r>
    </w:p>
    <w:p w14:paraId="1DA57543" w14:textId="77777777" w:rsidR="00A75704" w:rsidRPr="00A75704" w:rsidRDefault="00A75704" w:rsidP="00A75704">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Provide extra support for low-prior-knowledge learners, since benefits may be smaller for them (S10).</w:t>
      </w:r>
    </w:p>
    <w:p w14:paraId="6F9059B6" w14:textId="77777777" w:rsidR="00A75704" w:rsidRPr="00A75704" w:rsidRDefault="00A75704" w:rsidP="00A75704">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Add a teacher view that surfaces students who are stuck, addressing the problem of one teacher with many students.</w:t>
      </w:r>
    </w:p>
    <w:p w14:paraId="0FCE9B2C" w14:textId="77777777" w:rsidR="00A75704" w:rsidRPr="00A75704" w:rsidRDefault="00A75704" w:rsidP="00A75704">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Include motivation elements such as visible progress and levels, which are supported by S3 and S10.</w:t>
      </w:r>
    </w:p>
    <w:p w14:paraId="0423AACC" w14:textId="77777777" w:rsidR="00A75704" w:rsidRPr="00A75704" w:rsidRDefault="00A75704" w:rsidP="00A75704">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Plan evaluation with achievement, engagement and dependency measures, not only satisfaction (S2).</w:t>
      </w:r>
    </w:p>
    <w:p w14:paraId="675C1658" w14:textId="77777777" w:rsidR="00A75704" w:rsidRPr="00A75704" w:rsidRDefault="00A75704" w:rsidP="00A7570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A75704">
        <w:rPr>
          <w:rFonts w:ascii="Times New Roman" w:eastAsia="Times New Roman" w:hAnsi="Times New Roman" w:cs="Times New Roman"/>
          <w:b/>
          <w:bCs/>
          <w:color w:val="000000" w:themeColor="text1"/>
          <w:kern w:val="0"/>
          <w:sz w:val="36"/>
          <w:szCs w:val="36"/>
          <w14:ligatures w14:val="none"/>
        </w:rPr>
        <w:t>8. Limitations of this review and next steps</w:t>
      </w:r>
    </w:p>
    <w:p w14:paraId="52D21DB0"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The sources were selected by the team and not through a documented database search, so this is not a systematic review. S5 and S6 are weaker sources (a narrative review with limited methodological detail and a two-page doctoral consortium paper) and should not carry key claims alone. To strengthen the review before the pre-defense, add about three to five more sources: foundational works on feedback and scaffolding (for example Vygotsky’s zone of proximal development, Shute on formative feedback), and prominent studies on novice programmers and AI code generators that are cited in the reference lists of S4 and S7, such as Kazemitabaar et al. (CHI 2023) and Prather et al. (ICER 2024). These should be read in full before being cited.</w:t>
      </w:r>
    </w:p>
    <w:p w14:paraId="61C9BC1B" w14:textId="77777777" w:rsidR="00A75704" w:rsidRPr="00A75704" w:rsidRDefault="00A75704" w:rsidP="00A7570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A75704">
        <w:rPr>
          <w:rFonts w:ascii="Times New Roman" w:eastAsia="Times New Roman" w:hAnsi="Times New Roman" w:cs="Times New Roman"/>
          <w:b/>
          <w:bCs/>
          <w:color w:val="000000" w:themeColor="text1"/>
          <w:kern w:val="0"/>
          <w:sz w:val="36"/>
          <w:szCs w:val="36"/>
          <w14:ligatures w14:val="none"/>
        </w:rPr>
        <w:t>References</w:t>
      </w:r>
    </w:p>
    <w:p w14:paraId="1342497A"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[S1] H. E. Kim, H. M. Kim, C. M. Kim, and C. J. Park, “Development of a Tablet-Based Learning Support Tool for Self-Directed Learning in High School Informatics Education,” Eng. Proc., vol. 120, art. 19, 2025. doi: 10.3390/engproc2025120019</w:t>
      </w:r>
    </w:p>
    <w:p w14:paraId="710995D9"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lastRenderedPageBreak/>
        <w:t>[S2] N.-L. Ren and A. W. C. Tse, “The Impact of Generative AI on Grade 8 Student Engagement in Secondary Programming Education: A Mixed-Methods Quasi-Experimental Study,” in Proc. ICEEL 2025, ACM, 2025, pp. 47–53. doi: 10.1145/3789859.3789907</w:t>
      </w:r>
    </w:p>
    <w:p w14:paraId="17C69F72"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[S3] R. Alebaikan, H. Alajlan, A. Almassaad, N. Alshamri, and Y. Bain, “Experiences of Middle School Programming in an Online Learning Environment,” Behav. Sci., vol. 12, art. 466, 2022. doi: 10.3390/bs12110466</w:t>
      </w:r>
    </w:p>
    <w:p w14:paraId="39DF8466"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[S4] E. Özgül, “A Systematic Review of Studies on the Use of Generative Artificial Intelligence Tools in Programming Education,” Kastamonu Educ. J., vol. 34, no. 1, pp. 172–185, 2026. doi: 10.24106/kefdergi.1878122</w:t>
      </w:r>
    </w:p>
    <w:p w14:paraId="4EE7086F"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[S5] J. Lu and L. Zheng, “A Study on the Application of Generative AI in the Transitional Teaching of Scratch-Python Children’s Programming,” in Proc. ICIEAI 2025, ACM, 2025, pp. 952–958. doi: 10.1145/3799457.3799613</w:t>
      </w:r>
    </w:p>
    <w:p w14:paraId="103B59D4"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[S6] J. Fan, “Towards Human-Centered Large Language Models for Personalized Programming Education,” in Proc. ICER 2026 Vol. 2, ACM, 2026, pp. 61–62. doi: 10.1145/3765965.3816672</w:t>
      </w:r>
    </w:p>
    <w:p w14:paraId="4FF1C2C7"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[S7] L. Na Nongkhai, J. Wang, A. Wynn, and T. Mendori, “Evaluating adaptive and generative AI-based feedback and recommendations in a knowledge-graph-integrated programming learning system,” Comput. Educ.: Artif. Intell., vol. 10, art. 100526, 2026. doi: 10.1016/j.caeai.2025.100526</w:t>
      </w:r>
    </w:p>
    <w:p w14:paraId="08CA1EF1"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[S8] T. Person, J. A. Caballero-Hernández, C. Romero, I. Ruiz-Rube, and J. M. Dodero, “Learning personalization in block-based programming languages using clustering and static code analysis,” Comput. Educ. Open, vol. 10, art. 100333, 2026. doi: 10.1016/j.caeo.2026.100333</w:t>
      </w:r>
    </w:p>
    <w:p w14:paraId="4D11C470"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[S9] B. Tang, J. Liang, W. Hu, and H. Luo, “Enhancing Programming Performance, Learning Interest, and Self-Efficacy: The Role of Large Language Models in Middle School Education,” Systems, vol. 13, art. 555, 2025. doi: 10.3390/systems13070555</w:t>
      </w:r>
    </w:p>
    <w:p w14:paraId="3DA9E211"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[S10] C.-H. Lai, Y.-J. Chen, and Z.-P. Chen, “Integrating Game-Based Learning and Generative AI in Programming Education: A Study on Automated Question Generation and Learning Outcomes Enhancement,” Appl. Sci., vol. 16, art. 6165, 2026. doi: 10.3390/app16126165</w:t>
      </w:r>
    </w:p>
    <w:p w14:paraId="395276CD"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[S11] G. Huesca et al., “Modeling Factors Influencing Learning Gains in Generative Artificial Intelligence-Supported Undergraduate Programming Courses,” Educ. Sci., vol. 16, art. 1037, 2026. doi: 10.3390/educsci16071037</w:t>
      </w:r>
    </w:p>
    <w:p w14:paraId="2BA45B09" w14:textId="77777777" w:rsidR="00A75704" w:rsidRPr="00A75704" w:rsidRDefault="00A75704" w:rsidP="00A75704">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75704">
        <w:rPr>
          <w:rFonts w:ascii="Times New Roman" w:eastAsia="Times New Roman" w:hAnsi="Times New Roman" w:cs="Times New Roman"/>
          <w:color w:val="000000" w:themeColor="text1"/>
          <w:kern w:val="0"/>
          <w14:ligatures w14:val="none"/>
        </w:rPr>
        <w:t>[S12] J. Katona and K. I. Katonane Gyonyoru, “Enhancing programming education through AI-driven tools and innovative pedagogical models: a systematic study on student engagement, retention, and self-regulation,” J. Comput. Educ., 2026. doi: 10.1007/s40692-026-00391-4</w:t>
      </w:r>
    </w:p>
    <w:p w14:paraId="582B7EA5" w14:textId="77777777" w:rsidR="00A75704" w:rsidRPr="00A75704" w:rsidRDefault="00A75704">
      <w:pPr>
        <w:rPr>
          <w:color w:val="000000" w:themeColor="text1"/>
        </w:rPr>
      </w:pPr>
    </w:p>
    <w:sectPr w:rsidR="00A75704" w:rsidRPr="00A757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A31E0"/>
    <w:multiLevelType w:val="multilevel"/>
    <w:tmpl w:val="2CB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B429E"/>
    <w:multiLevelType w:val="multilevel"/>
    <w:tmpl w:val="B39A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AA4DE8"/>
    <w:multiLevelType w:val="multilevel"/>
    <w:tmpl w:val="2154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1288634">
    <w:abstractNumId w:val="1"/>
  </w:num>
  <w:num w:numId="2" w16cid:durableId="109713573">
    <w:abstractNumId w:val="2"/>
  </w:num>
  <w:num w:numId="3" w16cid:durableId="801267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04"/>
    <w:rsid w:val="009F1BE0"/>
    <w:rsid w:val="00A75704"/>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645F808F"/>
  <w15:chartTrackingRefBased/>
  <w15:docId w15:val="{8B1E2AD9-DE2C-CB4A-8D20-55F17DA5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5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5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5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5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704"/>
    <w:rPr>
      <w:rFonts w:eastAsiaTheme="majorEastAsia" w:cstheme="majorBidi"/>
      <w:color w:val="272727" w:themeColor="text1" w:themeTint="D8"/>
    </w:rPr>
  </w:style>
  <w:style w:type="paragraph" w:styleId="Title">
    <w:name w:val="Title"/>
    <w:basedOn w:val="Normal"/>
    <w:next w:val="Normal"/>
    <w:link w:val="TitleChar"/>
    <w:uiPriority w:val="10"/>
    <w:qFormat/>
    <w:rsid w:val="00A75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704"/>
    <w:pPr>
      <w:spacing w:before="160"/>
      <w:jc w:val="center"/>
    </w:pPr>
    <w:rPr>
      <w:i/>
      <w:iCs/>
      <w:color w:val="404040" w:themeColor="text1" w:themeTint="BF"/>
    </w:rPr>
  </w:style>
  <w:style w:type="character" w:customStyle="1" w:styleId="QuoteChar">
    <w:name w:val="Quote Char"/>
    <w:basedOn w:val="DefaultParagraphFont"/>
    <w:link w:val="Quote"/>
    <w:uiPriority w:val="29"/>
    <w:rsid w:val="00A75704"/>
    <w:rPr>
      <w:i/>
      <w:iCs/>
      <w:color w:val="404040" w:themeColor="text1" w:themeTint="BF"/>
    </w:rPr>
  </w:style>
  <w:style w:type="paragraph" w:styleId="ListParagraph">
    <w:name w:val="List Paragraph"/>
    <w:basedOn w:val="Normal"/>
    <w:uiPriority w:val="34"/>
    <w:qFormat/>
    <w:rsid w:val="00A75704"/>
    <w:pPr>
      <w:ind w:left="720"/>
      <w:contextualSpacing/>
    </w:pPr>
  </w:style>
  <w:style w:type="character" w:styleId="IntenseEmphasis">
    <w:name w:val="Intense Emphasis"/>
    <w:basedOn w:val="DefaultParagraphFont"/>
    <w:uiPriority w:val="21"/>
    <w:qFormat/>
    <w:rsid w:val="00A75704"/>
    <w:rPr>
      <w:i/>
      <w:iCs/>
      <w:color w:val="2F5496" w:themeColor="accent1" w:themeShade="BF"/>
    </w:rPr>
  </w:style>
  <w:style w:type="paragraph" w:styleId="IntenseQuote">
    <w:name w:val="Intense Quote"/>
    <w:basedOn w:val="Normal"/>
    <w:next w:val="Normal"/>
    <w:link w:val="IntenseQuoteChar"/>
    <w:uiPriority w:val="30"/>
    <w:qFormat/>
    <w:rsid w:val="00A75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704"/>
    <w:rPr>
      <w:i/>
      <w:iCs/>
      <w:color w:val="2F5496" w:themeColor="accent1" w:themeShade="BF"/>
    </w:rPr>
  </w:style>
  <w:style w:type="character" w:styleId="IntenseReference">
    <w:name w:val="Intense Reference"/>
    <w:basedOn w:val="DefaultParagraphFont"/>
    <w:uiPriority w:val="32"/>
    <w:qFormat/>
    <w:rsid w:val="00A75704"/>
    <w:rPr>
      <w:b/>
      <w:bCs/>
      <w:smallCaps/>
      <w:color w:val="2F5496" w:themeColor="accent1" w:themeShade="BF"/>
      <w:spacing w:val="5"/>
    </w:rPr>
  </w:style>
  <w:style w:type="paragraph" w:styleId="NormalWeb">
    <w:name w:val="Normal (Web)"/>
    <w:basedOn w:val="Normal"/>
    <w:uiPriority w:val="99"/>
    <w:semiHidden/>
    <w:unhideWhenUsed/>
    <w:rsid w:val="00A757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5704"/>
    <w:rPr>
      <w:b/>
      <w:bCs/>
    </w:rPr>
  </w:style>
  <w:style w:type="character" w:customStyle="1" w:styleId="apple-converted-space">
    <w:name w:val="apple-converted-space"/>
    <w:basedOn w:val="DefaultParagraphFont"/>
    <w:rsid w:val="00A75704"/>
  </w:style>
  <w:style w:type="table" w:styleId="TableGridLight">
    <w:name w:val="Grid Table Light"/>
    <w:basedOn w:val="TableNormal"/>
    <w:uiPriority w:val="40"/>
    <w:rsid w:val="00A757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75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2861</Words>
  <Characters>16308</Characters>
  <Application>Microsoft Office Word</Application>
  <DocSecurity>0</DocSecurity>
  <Lines>135</Lines>
  <Paragraphs>38</Paragraphs>
  <ScaleCrop>false</ScaleCrop>
  <Company/>
  <LinksUpToDate>false</LinksUpToDate>
  <CharactersWithSpaces>19131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 Tsoy</dc:creator>
  <cp:keywords/>
  <dc:description/>
  <cp:lastModifiedBy>Ruslan Tsoy</cp:lastModifiedBy>
  <cp:revision>1</cp:revision>
  <dcterms:created xsi:type="dcterms:W3CDTF">2026-10-21T10:58:00Z</dcterms:created>
  <dcterms:modified xsi:type="dcterms:W3CDTF">2026-10-21T10:58:00Z</dcterms:modified>
</cp:coreProperties>
</file>