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r w:rsidR="009552E5">
                          <w:rPr>
                            <w:b/>
                            <w:color w:val="1F3864" w:themeColor="accent1" w:themeShade="80"/>
                            <w:sz w:val="48"/>
                            <w:szCs w:val="48"/>
                          </w:rPr>
                          <w:t>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15A4B9C"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Al 17 de octubre de 2026 el proyecto cerró sus dos primeros sprints y cursa la primera semana del tercero. El Sprint 1 se ejecutó entre el 08 y el 22 de septiembre, con 31 tareas y 125 horas, y el Sprint 2 entre el 23 de septiembre y el 12 de octubre, con 52 tareas y 205 horas. Ambos cerraron con la totalidad de sus tareas terminadas y con su reunión de retrospectiva realizada.</w:t>
            </w:r>
          </w:p>
          <w:p w14:paraId="7FE26E7E"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Actividades llevadas a cabo. Se levantaron y especificaron los requerimientos con el cliente Joyas_ye, formalizados en veinte historias de usuario con noventa y tres criterios de aceptación y su trazabilidad contra la implementación y las pruebas que respaldan cada una. Se diseñó e implementó el modelo de datos relacional multi-tienda en PostgreSQL con migraciones versionadas de Django. Se construyó la capa de aislamiento entre tiendas, la autenticación por JWT con control de acceso por rol, el catálogo público y su administración desde el panel, la identidad visual de cada tienda, el almacenamiento de fotografías en Cloudflare R2, el módulo de carga masiva desde planillas y el motor de precios escalonados por volumen de compra. Todo el entorno se levanta con un comando mediante Docker.</w:t>
            </w:r>
          </w:p>
          <w:p w14:paraId="137167B3"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Objetivos específicos cumplidos. Están cumplidos y verificados cuatro de los diez objetivos declarados en la Fase 1: el levantamiento y especificación de requerimientos; el diseño e implementación del modelo de datos multi-tienda con aislamiento de la información comercial y soporte de precios escalonados; la construcción del módulo de ingesta, con el ajuste de alcance que se detalla más abajo; y, parcialmente, la construcción de los módulos de catálogo y carrito, quedando pendiente la gestión de pedidos y el panel de analítica.</w:t>
            </w:r>
          </w:p>
          <w:p w14:paraId="6EDEECB8"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Cómo se verifica. El criterio de terminado del equipo exige revisión del otro integrante, pruebas en verde y documentación actualizada. A la fecha el repositorio tiene 463 pruebas automatizadas ejecutándose en verde, de las cuales un conjunto específico comprueba el aislamiento entre tiendas: cada una se autentica como una tienda e intenta leer datos de otra, y la respuesta esperada es 404 y no 403, para no revelar la existencia de información de terceros. Es el requisito de seguridad más crítico del sistema por tratarse de una base de datos compartida entre comercios.</w:t>
            </w:r>
          </w:p>
          <w:p w14:paraId="6C70E0C9" w14:textId="33EE407D" w:rsidR="0003309E"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Objetivos no iniciados. Quedan sin iniciar los tres objetivos analíticos —pronóstico de demanda, segmentación de clientes y asistente conversacional— y la implantación en producción, todos programados para los sprints 3 y 4 conforme a la planificación vigente.</w:t>
            </w:r>
          </w:p>
        </w:tc>
      </w:tr>
      <w:tr w:rsidR="0003309E" w14:paraId="054DAFFB" w14:textId="77777777" w:rsidTr="000A1331">
        <w:trPr>
          <w:trHeight w:val="1247"/>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368F06A6"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ajustaron dos de los diez objetivos específicos declarados en la Fase 1.</w:t>
            </w:r>
          </w:p>
          <w:p w14:paraId="3ACF4580"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elimina el objetivo de construir un motor de reglas de negocio que genere sugerencias de descuento sobre productos de baja rotación y campañas dirigidas a clientes en riesgo de abandono. La decisión se tomó el 04 de octubre de 2026 y responde a dos razones. La primera es de modelo de negocio: el cliente no opera con descuentos porcentuales sino con precios diferenciados por volumen, de modo que un descuento sugerido no tiene dónde aplicarse en su operación real. La segunda es de alcance: el objetivo dependía de que los dos modelos predictivos estuvieran construidos y evaluados, y concentrarlo al final del período ponía en riesgo la entrega de los componentes que sí son núcleo del proyecto. El propio plan de la Fase 1 lo identificaba como «el primer componente a reducir si el calendario se estrecha». La segmentación de clientes se mantiene como objetivo, sin la capa de recomendación.</w:t>
            </w:r>
          </w:p>
          <w:p w14:paraId="215983A8"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reformula el objetivo del módulo de ingesta. Estaba declarado como la carga y normalización de los registros históricos de venta del comercio desde planillas de cálculo. Al levantar los datos con el cliente se constató que Joyas_ye no conserva su historial de ventas con el detalle por producto y fecha que el pronóstico requiere. El objetivo se reformula como la carga masiva del catálogo —productos, tramos de precio y fotografías— desde planillas, que es la operación que el cliente efectivamente realiza de forma habitual porque su catálogo rota con frecuencia. En consecuencia, los modelos predictivos se entrenarán con datos sintéticos calibrados sobre los montos reales de venta que el cliente sí entregó, y toda cifra producida con ellos se rotula como tal en la interfaz, de modo que nunca se presente un número sintético como si fuera del cliente.</w:t>
            </w:r>
          </w:p>
          <w:p w14:paraId="0DD025FA" w14:textId="1C5A82C9" w:rsidR="0003309E" w:rsidRPr="00EE5ECB" w:rsidRDefault="00EE5ECB" w:rsidP="00EE5ECB">
            <w:pPr>
              <w:spacing w:after="120"/>
              <w:rPr>
                <w:rFonts w:ascii="Calibri" w:hAnsi="Calibri" w:cs="Arial"/>
                <w:b/>
                <w:color w:val="000000"/>
                <w:sz w:val="19"/>
                <w:szCs w:val="20"/>
                <w:lang w:eastAsia="es-CL"/>
              </w:rPr>
            </w:pPr>
            <w:r w:rsidRPr="00EE5ECB">
              <w:rPr>
                <w:rFonts w:ascii="Calibri" w:hAnsi="Calibri" w:cs="Arial"/>
                <w:color w:val="000000"/>
                <w:sz w:val="19"/>
                <w:szCs w:val="20"/>
                <w:lang w:eastAsia="es-CL"/>
              </w:rPr>
              <w:t>Adicionalmente, las variantes de producto por talla y color, mencionadas en el objetivo de construcción de los módulos, se declaran trabajo futuro. El modelo de datos admite incorporarlas más adelante sin modificaciones estructurales.</w:t>
            </w:r>
          </w:p>
        </w:tc>
      </w:tr>
      <w:tr w:rsidR="0003309E" w14:paraId="2FEF1C0D" w14:textId="77777777" w:rsidTr="000A1331">
        <w:trPr>
          <w:trHeight w:val="939"/>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20AB1908"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ajustó la cadencia de los sprints. La Fase 1 planificó ocho sprints de dos semanas sobre las dieciocho semanas del período. La planificación vigente son cuatro sprints de tres semanas más una etapa de cierre.</w:t>
            </w:r>
          </w:p>
          <w:p w14:paraId="205C8B17"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El cambio se adoptó tras el primer sprint. Con sprints de dos semanas, el tiempo que consumen las ceremonias —planificación, revisión con el cliente y retrospectiva— frente al tiempo disponible de un equipo de dos personas que además cursa otras asignaturas dejaba un margen de construcción insuficiente para cerrar un incremento demostrable. Con tres semanas, cada sprint termina con algo que el cliente puede ver y validar, y la cantidad de ceremonias se reduce a la mitad. El marco sigue siendo Scrum y la articulación con CRISP-DM para los componentes analíticos se mantiene sin cambios: cada fase del ciclo es un conjunto de historias del mismo backlog y no un trabajo paralelo.</w:t>
            </w:r>
          </w:p>
          <w:p w14:paraId="6326A793"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ajustó también la herramienta de gestión. El plan declaraba Jira; el equipo trabaja sobre un tablero de Trello con las listas Backlog, Next Sprint, Sprint Backlog, Dev, Code Review, Testing y Done por sprint. La decisión responde a la curva de aprendizaje y al costo de licenciamiento de Jira frente a un equipo de dos integrantes.</w:t>
            </w:r>
          </w:p>
          <w:p w14:paraId="0908C15F" w14:textId="24CDFE85" w:rsidR="0003309E"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Queda pendiente actualizar la carta Gantt del documento 1.5, que refleja la cadencia anterior de ocho sprints de dos semanas.</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22D1F5E4"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Se presentan cuatro evidencias, seleccionadas porque permiten contrastar lo declarado contra algo verificable y no contra una descripción.</w:t>
            </w:r>
          </w:p>
          <w:p w14:paraId="7977811E"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1. Repositorio de código con su suite de pruebas. Es la evidencia central: muestra el producto construido y, sobre todo, que funciona. Las 463 pruebas automatizadas se ejecutan con un comando y cubren el motor de precios contra los casos reales de precios que entregó el cliente, el aislamiento entre tiendas en ambos sentidos, la carga masiva con filas inválidas y la autenticación. Da cuenta del desarrollo porque una prueba en verde es una afirmación comprobable sobre el comportamiento del sistema.</w:t>
            </w:r>
          </w:p>
          <w:p w14:paraId="5DA9B520"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2. Sprint Backlog con el registro de avance día a día. Contiene los cuatro sprints con sus tareas, el responsable de cada una, las horas estimadas y las horas consumidas por jornada. De ahí salen los gráficos burndown de los sprints 1 y 2. Da cuenta del desarrollo porque documenta el ritmo real de trabajo y no solo el resultado final.</w:t>
            </w:r>
          </w:p>
          <w:p w14:paraId="63D29154"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3. Documentación técnica del proyecto: documento de arquitectura, modelo de datos, especificación de la API, épicas e historias de usuario con sus criterios de aceptación y la matriz de control de cambios. Da cuenta del desarrollo porque registra las decisiones tomadas, su justificación y los cambios de alcance con su fecha y su motivo.</w:t>
            </w:r>
          </w:p>
          <w:p w14:paraId="3E789C4F" w14:textId="77777777" w:rsidR="00EE5ECB" w:rsidRPr="00EE5ECB" w:rsidRDefault="00EE5ECB" w:rsidP="00EE5ECB">
            <w:pPr>
              <w:spacing w:after="120"/>
              <w:rPr>
                <w:rFonts w:ascii="Calibri" w:hAnsi="Calibri" w:cs="Arial"/>
                <w:color w:val="000000"/>
                <w:sz w:val="19"/>
                <w:szCs w:val="20"/>
                <w:lang w:eastAsia="es-CL"/>
              </w:rPr>
            </w:pPr>
            <w:r w:rsidRPr="00EE5ECB">
              <w:rPr>
                <w:rFonts w:ascii="Calibri" w:hAnsi="Calibri" w:cs="Arial"/>
                <w:color w:val="000000"/>
                <w:sz w:val="19"/>
                <w:szCs w:val="20"/>
                <w:lang w:eastAsia="es-CL"/>
              </w:rPr>
              <w:t>4. Demostración en video de la plataforma en funcionamiento, recorriendo el catálogo público, la carga masiva, la identidad de la tienda y el motor de precios con los casos reales del cliente.</w:t>
            </w:r>
          </w:p>
          <w:p w14:paraId="51E5B895" w14:textId="620AD638" w:rsidR="0003309E" w:rsidRPr="00EE5ECB" w:rsidRDefault="00EE5ECB" w:rsidP="00EE5ECB">
            <w:pPr>
              <w:spacing w:after="120"/>
              <w:rPr>
                <w:rFonts w:ascii="Calibri" w:hAnsi="Calibri" w:cs="Arial"/>
                <w:b/>
                <w:color w:val="000000"/>
                <w:sz w:val="19"/>
                <w:szCs w:val="20"/>
                <w:lang w:eastAsia="es-CL"/>
              </w:rPr>
            </w:pPr>
            <w:r w:rsidRPr="00EE5ECB">
              <w:rPr>
                <w:rFonts w:ascii="Calibri" w:hAnsi="Calibri" w:cs="Arial"/>
                <w:color w:val="000000"/>
                <w:sz w:val="19"/>
                <w:szCs w:val="20"/>
                <w:lang w:eastAsia="es-CL"/>
              </w:rPr>
              <w:t>Resguardo de la calidad. Se aplicaron prácticas propias de la ingeniería de software durante toda la construcción, y no como una actividad final. El código se trabaja en ramas por funcionalidad con revisión del otro integrante antes de integrar; la integración continua ejecuta las pruebas y el analizador estático en cada cambio; las credenciales viven en variables de entorno y el repositorio, que es público, no contiene ninguna; toda funcionalidad que lea datos de una tienda lleva su prueba de aislamiento; y el cálculo del dinero está centralizado en un solo lugar, con redondeo medio hacia arriba y tipos decimales, porque el redondeo por omisión del lenguaje produce diferencias de un peso que afectarían la facturación del cliente.</w: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0B8BE110" w14:textId="77777777" w:rsidR="00EE5ECB" w:rsidRDefault="00EE5ECB" w:rsidP="0003309E">
      <w:pPr>
        <w:spacing w:after="0" w:line="240" w:lineRule="auto"/>
        <w:rPr>
          <w:rFonts w:cs="Calibri Light"/>
          <w:color w:val="595959" w:themeColor="text1" w:themeTint="A6"/>
          <w:sz w:val="24"/>
          <w:szCs w:val="24"/>
          <w:lang w:val="es-ES"/>
        </w:rPr>
        <w:sectPr w:rsidR="00EE5ECB">
          <w:headerReference w:type="default" r:id="rId10"/>
          <w:pgSz w:w="11906" w:h="16838"/>
          <w:pgMar w:top="1417" w:right="1701" w:bottom="1417" w:left="1701" w:header="708" w:footer="708" w:gutter="0"/>
          <w:cols w:space="708"/>
          <w:docGrid w:linePitch="360"/>
        </w:sectPr>
      </w:pPr>
    </w:p>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144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20"/>
        <w:gridCol w:w="2080"/>
        <w:gridCol w:w="1680"/>
        <w:gridCol w:w="880"/>
        <w:gridCol w:w="1000"/>
        <w:gridCol w:w="3000"/>
        <w:gridCol w:w="1080"/>
        <w:gridCol w:w="3200"/>
      </w:tblGrid>
      <w:tr w:rsidR="00FD5149" w:rsidRPr="006E3B0D" w14:paraId="66FA4353" w14:textId="77777777" w:rsidTr="00EE5ECB">
        <w:trPr>
          <w:trHeight w:val="415"/>
          <w:tblHeader/>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EE5ECB">
        <w:trPr>
          <w:trHeight w:val="711"/>
          <w:tblHeader/>
        </w:trPr>
        <w:tc>
          <w:tcPr>
            <w:tcW w:w="1520"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2080"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680"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880"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000"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3000"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080"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320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FD5149" w:rsidRPr="006E3B0D" w14:paraId="0D4FAAA2" w14:textId="77777777" w:rsidTr="00EE5ECB">
        <w:tc>
          <w:tcPr>
            <w:tcW w:w="1520" w:type="dxa"/>
          </w:tcPr>
          <w:p w14:paraId="29F01B29" w14:textId="4D861556" w:rsidR="00FD5149" w:rsidRPr="00EE5ECB" w:rsidRDefault="00EE5ECB" w:rsidP="00EE5ECB">
            <w:pPr>
              <w:spacing w:after="0" w:line="240" w:lineRule="auto"/>
              <w:rPr>
                <w:b/>
                <w:color w:val="000000"/>
                <w:sz w:val="14"/>
                <w:szCs w:val="24"/>
              </w:rPr>
            </w:pPr>
            <w:r w:rsidRPr="00EE5ECB">
              <w:rPr>
                <w:rFonts w:ascii="Calibri" w:hAnsi="Calibri" w:cs="Arial"/>
                <w:color w:val="000000"/>
                <w:sz w:val="14"/>
                <w:szCs w:val="20"/>
                <w:lang w:eastAsia="es-CL"/>
              </w:rPr>
              <w:t>Gestionar proyectos informáticos</w:t>
            </w:r>
          </w:p>
        </w:tc>
        <w:tc>
          <w:tcPr>
            <w:tcW w:w="2080" w:type="dxa"/>
          </w:tcPr>
          <w:p w14:paraId="7B4EBE25" w14:textId="4EC5E034" w:rsidR="00FD5149"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Levantamiento de requerimientos</w:t>
            </w:r>
          </w:p>
        </w:tc>
        <w:tc>
          <w:tcPr>
            <w:tcW w:w="1680" w:type="dxa"/>
          </w:tcPr>
          <w:p w14:paraId="16E191DF" w14:textId="10B1F7A3" w:rsidR="00FD5149" w:rsidRPr="00EE5ECB" w:rsidRDefault="00EE5ECB" w:rsidP="00EE5ECB">
            <w:pPr>
              <w:spacing w:after="0" w:line="240" w:lineRule="auto"/>
              <w:rPr>
                <w:b/>
                <w:color w:val="000000"/>
                <w:sz w:val="14"/>
                <w:szCs w:val="24"/>
              </w:rPr>
            </w:pPr>
            <w:r w:rsidRPr="00EE5ECB">
              <w:rPr>
                <w:rFonts w:ascii="Calibri" w:hAnsi="Calibri" w:cs="Arial"/>
                <w:color w:val="000000"/>
                <w:sz w:val="14"/>
                <w:szCs w:val="20"/>
                <w:lang w:eastAsia="es-CL"/>
              </w:rPr>
              <w:t>Guion de entrevista, plantillas de historias de usuario</w:t>
            </w:r>
          </w:p>
        </w:tc>
        <w:tc>
          <w:tcPr>
            <w:tcW w:w="880" w:type="dxa"/>
          </w:tcPr>
          <w:p w14:paraId="66A5D860" w14:textId="425A4865" w:rsidR="00FD5149" w:rsidRPr="00EE5ECB" w:rsidRDefault="00EE5ECB" w:rsidP="00EE5ECB">
            <w:pPr>
              <w:spacing w:after="0" w:line="240" w:lineRule="auto"/>
              <w:rPr>
                <w:b/>
                <w:color w:val="000000"/>
                <w:sz w:val="14"/>
                <w:szCs w:val="24"/>
              </w:rPr>
            </w:pPr>
            <w:r w:rsidRPr="00EE5ECB">
              <w:rPr>
                <w:rFonts w:ascii="Calibri" w:hAnsi="Calibri" w:cs="Arial"/>
                <w:color w:val="000000"/>
                <w:sz w:val="14"/>
                <w:szCs w:val="20"/>
                <w:lang w:eastAsia="es-CL"/>
              </w:rPr>
              <w:t>S1-S2</w:t>
            </w:r>
          </w:p>
        </w:tc>
        <w:tc>
          <w:tcPr>
            <w:tcW w:w="1000" w:type="dxa"/>
          </w:tcPr>
          <w:p w14:paraId="036AB5D8" w14:textId="14B85BD4" w:rsidR="00FD5149"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2FCEC037" w14:textId="5CB773E5" w:rsidR="00FD5149"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el cliente es un contacto directo del equipo. Obstaculizador: los requerimientos vienen en lenguaje de negocio y requieren traducción técnica.</w:t>
            </w:r>
          </w:p>
        </w:tc>
        <w:tc>
          <w:tcPr>
            <w:tcW w:w="1080" w:type="dxa"/>
          </w:tcPr>
          <w:p w14:paraId="2163602D" w14:textId="083D43A5" w:rsidR="00FD5149"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Completado</w:t>
            </w:r>
          </w:p>
        </w:tc>
        <w:tc>
          <w:tcPr>
            <w:tcW w:w="3200" w:type="dxa"/>
          </w:tcPr>
          <w:p w14:paraId="7C6D6F31" w14:textId="37513913" w:rsidR="00FD5149"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Se formalizaron veinte historias con noventa y tres criterios de aceptación en un anexo propio. Se unificaron los identificadores, que diferían entre documentos.</w:t>
            </w:r>
          </w:p>
        </w:tc>
      </w:tr>
      <w:tr w:rsidR="00EE5ECB" w:rsidRPr="006E3B0D" w14:paraId="25A5875E" w14:textId="77777777" w:rsidTr="00EE5ECB">
        <w:tc>
          <w:tcPr>
            <w:tcW w:w="1520" w:type="dxa"/>
          </w:tcPr>
          <w:p w14:paraId="50774162" w14:textId="0DAEBF8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Gestionar proyectos informáticos</w:t>
            </w:r>
          </w:p>
        </w:tc>
        <w:tc>
          <w:tcPr>
            <w:tcW w:w="2080" w:type="dxa"/>
          </w:tcPr>
          <w:p w14:paraId="0A141B0E" w14:textId="03F77AD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Definición y planificación del proyecto</w:t>
            </w:r>
          </w:p>
        </w:tc>
        <w:tc>
          <w:tcPr>
            <w:tcW w:w="1680" w:type="dxa"/>
          </w:tcPr>
          <w:p w14:paraId="405EA261" w14:textId="48302BD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Trello, GitHub, documentación de la asignatura</w:t>
            </w:r>
          </w:p>
        </w:tc>
        <w:tc>
          <w:tcPr>
            <w:tcW w:w="880" w:type="dxa"/>
          </w:tcPr>
          <w:p w14:paraId="09884938" w14:textId="7B0E0D7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S3-S4</w:t>
            </w:r>
          </w:p>
        </w:tc>
        <w:tc>
          <w:tcPr>
            <w:tcW w:w="1000" w:type="dxa"/>
          </w:tcPr>
          <w:p w14:paraId="4C6DA4FC" w14:textId="6526DFC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255F47DE" w14:textId="1F63977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alcance ya acotado en la definición. Obstaculizador: riesgo de subestimar el esfuerzo por falta de experiencia previa.</w:t>
            </w:r>
          </w:p>
        </w:tc>
        <w:tc>
          <w:tcPr>
            <w:tcW w:w="1080" w:type="dxa"/>
          </w:tcPr>
          <w:p w14:paraId="5354CDD7" w14:textId="4AB625E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Ajustada</w:t>
            </w:r>
          </w:p>
        </w:tc>
        <w:tc>
          <w:tcPr>
            <w:tcW w:w="3200" w:type="dxa"/>
          </w:tcPr>
          <w:p w14:paraId="776981CD" w14:textId="48D8731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Se replanificó de ocho sprints de dos semanas a cuatro de tres semanas más cierre. Se reemplazó Jira por Trello. Queda pendiente actualizar la carta Gantt del documento 1.5.</w:t>
            </w:r>
          </w:p>
        </w:tc>
      </w:tr>
      <w:tr w:rsidR="00EE5ECB" w:rsidRPr="006E3B0D" w14:paraId="3F8540FC" w14:textId="77777777" w:rsidTr="00EE5ECB">
        <w:tc>
          <w:tcPr>
            <w:tcW w:w="1520" w:type="dxa"/>
          </w:tcPr>
          <w:p w14:paraId="240FAD9F" w14:textId="32C5373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Construir modelos de datos</w:t>
            </w:r>
          </w:p>
        </w:tc>
        <w:tc>
          <w:tcPr>
            <w:tcW w:w="2080" w:type="dxa"/>
          </w:tcPr>
          <w:p w14:paraId="088480AF" w14:textId="52E31EDA"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Diseño del modelo de datos multi-tienda</w:t>
            </w:r>
          </w:p>
        </w:tc>
        <w:tc>
          <w:tcPr>
            <w:tcW w:w="1680" w:type="dxa"/>
          </w:tcPr>
          <w:p w14:paraId="5E497DD5" w14:textId="6E23790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Herramienta de modelado E-R, PostgreSQL</w:t>
            </w:r>
          </w:p>
        </w:tc>
        <w:tc>
          <w:tcPr>
            <w:tcW w:w="880" w:type="dxa"/>
          </w:tcPr>
          <w:p w14:paraId="446D406D" w14:textId="61E791C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S5-S6</w:t>
            </w:r>
          </w:p>
        </w:tc>
        <w:tc>
          <w:tcPr>
            <w:tcW w:w="1000" w:type="dxa"/>
          </w:tcPr>
          <w:p w14:paraId="2E4D6C97" w14:textId="0BCF959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Daniel</w:t>
            </w:r>
          </w:p>
        </w:tc>
        <w:tc>
          <w:tcPr>
            <w:tcW w:w="3000" w:type="dxa"/>
          </w:tcPr>
          <w:p w14:paraId="6B4BB245" w14:textId="35A9D09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el aislamiento multi-tenant y los precios escalonados eran problemas nuevos para el equipo; se abordó con revisión conjunta del diseño.</w:t>
            </w:r>
          </w:p>
        </w:tc>
        <w:tc>
          <w:tcPr>
            <w:tcW w:w="1080" w:type="dxa"/>
          </w:tcPr>
          <w:p w14:paraId="520303F7" w14:textId="4EB30BF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Ajustada</w:t>
            </w:r>
          </w:p>
        </w:tc>
        <w:tc>
          <w:tcPr>
            <w:tcW w:w="3200" w:type="dxa"/>
          </w:tcPr>
          <w:p w14:paraId="58BC0128" w14:textId="45DDD80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El 04-10 se reemplazaron las entidades Lote y LineaGranel por una sola entidad Producto con forma de venta, control de stock opcional y unidad de medida. El modelo anterior estaba hecho a la medida del cliente piloto y no servía a otros comercios.</w:t>
            </w:r>
          </w:p>
        </w:tc>
      </w:tr>
      <w:tr w:rsidR="00EE5ECB" w:rsidRPr="006E3B0D" w14:paraId="1B6113BA" w14:textId="77777777" w:rsidTr="00EE5ECB">
        <w:tc>
          <w:tcPr>
            <w:tcW w:w="1520" w:type="dxa"/>
          </w:tcPr>
          <w:p w14:paraId="41A9DCA8" w14:textId="6AB6006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Construir modelos de datos</w:t>
            </w:r>
          </w:p>
        </w:tc>
        <w:tc>
          <w:tcPr>
            <w:tcW w:w="2080" w:type="dxa"/>
          </w:tcPr>
          <w:p w14:paraId="2C82FFE9" w14:textId="63394FA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Implementación del modelo y migraciones</w:t>
            </w:r>
          </w:p>
        </w:tc>
        <w:tc>
          <w:tcPr>
            <w:tcW w:w="1680" w:type="dxa"/>
          </w:tcPr>
          <w:p w14:paraId="38A0502E" w14:textId="28B2496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Django, PostgreSQL, Docker</w:t>
            </w:r>
          </w:p>
        </w:tc>
        <w:tc>
          <w:tcPr>
            <w:tcW w:w="880" w:type="dxa"/>
          </w:tcPr>
          <w:p w14:paraId="7930D9F0" w14:textId="5AB7F9E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S6-S7</w:t>
            </w:r>
          </w:p>
        </w:tc>
        <w:tc>
          <w:tcPr>
            <w:tcW w:w="1000" w:type="dxa"/>
          </w:tcPr>
          <w:p w14:paraId="6225B53C" w14:textId="5EFAA67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Daniel</w:t>
            </w:r>
          </w:p>
        </w:tc>
        <w:tc>
          <w:tcPr>
            <w:tcW w:w="3000" w:type="dxa"/>
          </w:tcPr>
          <w:p w14:paraId="5BA6B21C" w14:textId="50D1597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el diseño previo reduce el retrabajo. Se versiona desde el inicio para permitir cambios controlados.</w:t>
            </w:r>
          </w:p>
        </w:tc>
        <w:tc>
          <w:tcPr>
            <w:tcW w:w="1080" w:type="dxa"/>
          </w:tcPr>
          <w:p w14:paraId="250BCAEB" w14:textId="0A61ADC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Completado</w:t>
            </w:r>
          </w:p>
        </w:tc>
        <w:tc>
          <w:tcPr>
            <w:tcW w:w="3200" w:type="dxa"/>
          </w:tcPr>
          <w:p w14:paraId="50745EAE" w14:textId="60538D3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Las migraciones se rehicieron tras el cambio de modelo del 04-10. Quedan pendientes de actualizar el diagrama entidad-relación y el diccionario de datos.</w:t>
            </w:r>
          </w:p>
        </w:tc>
      </w:tr>
      <w:tr w:rsidR="00EE5ECB" w:rsidRPr="006E3B0D" w14:paraId="501EA7E5" w14:textId="77777777" w:rsidTr="00EE5ECB">
        <w:tc>
          <w:tcPr>
            <w:tcW w:w="1520" w:type="dxa"/>
          </w:tcPr>
          <w:p w14:paraId="69070A9C" w14:textId="005C86F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Construir modelos de datos</w:t>
            </w:r>
          </w:p>
        </w:tc>
        <w:tc>
          <w:tcPr>
            <w:tcW w:w="2080" w:type="dxa"/>
          </w:tcPr>
          <w:p w14:paraId="4E2EED12" w14:textId="78B2765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Módulo de ingesta de datos</w:t>
            </w:r>
          </w:p>
        </w:tc>
        <w:tc>
          <w:tcPr>
            <w:tcW w:w="1680" w:type="dxa"/>
          </w:tcPr>
          <w:p w14:paraId="7949A2AD" w14:textId="7173B64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Python, openpyxl, planillas del cliente</w:t>
            </w:r>
          </w:p>
        </w:tc>
        <w:tc>
          <w:tcPr>
            <w:tcW w:w="880" w:type="dxa"/>
          </w:tcPr>
          <w:p w14:paraId="18F2D092" w14:textId="7F25EBE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S7-S8</w:t>
            </w:r>
          </w:p>
        </w:tc>
        <w:tc>
          <w:tcPr>
            <w:tcW w:w="1000" w:type="dxa"/>
          </w:tcPr>
          <w:p w14:paraId="36381F1F" w14:textId="6CD8232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Daniel</w:t>
            </w:r>
          </w:p>
        </w:tc>
        <w:tc>
          <w:tcPr>
            <w:tcW w:w="3000" w:type="dxa"/>
          </w:tcPr>
          <w:p w14:paraId="220EB6F0" w14:textId="3ACA9E5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entrega datos reales tempranos. Obstaculizador: calidad deficiente de los datos crudos.</w:t>
            </w:r>
          </w:p>
        </w:tc>
        <w:tc>
          <w:tcPr>
            <w:tcW w:w="1080" w:type="dxa"/>
          </w:tcPr>
          <w:p w14:paraId="298CE463" w14:textId="0A282D9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Ajustada</w:t>
            </w:r>
          </w:p>
        </w:tc>
        <w:tc>
          <w:tcPr>
            <w:tcW w:w="3200" w:type="dxa"/>
          </w:tcPr>
          <w:p w14:paraId="1D228395" w14:textId="426AD5F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Pasó de cargar el historial de ventas a cargar el catálogo: productos, tramos de precio y fotografías. El cliente no conserva su historial con el detalle requerido. Los modelos se entrenarán con datos sintéticos calibrados y rotulados como tales.</w:t>
            </w:r>
          </w:p>
        </w:tc>
      </w:tr>
      <w:tr w:rsidR="00EE5ECB" w:rsidRPr="006E3B0D" w14:paraId="73078405" w14:textId="77777777" w:rsidTr="00EE5ECB">
        <w:tc>
          <w:tcPr>
            <w:tcW w:w="1520" w:type="dxa"/>
          </w:tcPr>
          <w:p w14:paraId="219DD950" w14:textId="179F878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3FA6962C" w14:textId="5E1FFAB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Backend: autenticación, tiendas y catálogo</w:t>
            </w:r>
          </w:p>
        </w:tc>
        <w:tc>
          <w:tcPr>
            <w:tcW w:w="1680" w:type="dxa"/>
          </w:tcPr>
          <w:p w14:paraId="74DBF417" w14:textId="0BE3590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Django REST Framework, PostgreSQL, Docker</w:t>
            </w:r>
          </w:p>
        </w:tc>
        <w:tc>
          <w:tcPr>
            <w:tcW w:w="880" w:type="dxa"/>
          </w:tcPr>
          <w:p w14:paraId="35301BF4" w14:textId="2BDAA9F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S7-S10</w:t>
            </w:r>
          </w:p>
        </w:tc>
        <w:tc>
          <w:tcPr>
            <w:tcW w:w="1000" w:type="dxa"/>
          </w:tcPr>
          <w:p w14:paraId="11AD3463" w14:textId="7EB68B4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3CBF7E26" w14:textId="3C0AA90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dominio previo del framework. Obstaculizador: carga académica paralela del semestre.</w:t>
            </w:r>
          </w:p>
        </w:tc>
        <w:tc>
          <w:tcPr>
            <w:tcW w:w="1080" w:type="dxa"/>
          </w:tcPr>
          <w:p w14:paraId="19575CE3" w14:textId="0003DAF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Completado</w:t>
            </w:r>
          </w:p>
        </w:tc>
        <w:tc>
          <w:tcPr>
            <w:tcW w:w="3200" w:type="dxa"/>
          </w:tcPr>
          <w:p w14:paraId="47932537" w14:textId="2EF3487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Sin ajustes. Incluye el aislamiento por tienda en una capa común, la respuesta 404 ante datos de otro comercio y el límite de intentos de autenticación por dirección.</w:t>
            </w:r>
          </w:p>
        </w:tc>
      </w:tr>
      <w:tr w:rsidR="00EE5ECB" w:rsidRPr="006E3B0D" w14:paraId="7314CCFF" w14:textId="77777777" w:rsidTr="00EE5ECB">
        <w:tc>
          <w:tcPr>
            <w:tcW w:w="1520" w:type="dxa"/>
          </w:tcPr>
          <w:p w14:paraId="07AF5ADC" w14:textId="46309D5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6D3D64BD" w14:textId="521096D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Frontend: catálogo, carrito y pedidos</w:t>
            </w:r>
          </w:p>
        </w:tc>
        <w:tc>
          <w:tcPr>
            <w:tcW w:w="1680" w:type="dxa"/>
          </w:tcPr>
          <w:p w14:paraId="674E970D" w14:textId="617786E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Next.js, React, Tailwind CSS, shadcn/ui</w:t>
            </w:r>
          </w:p>
        </w:tc>
        <w:tc>
          <w:tcPr>
            <w:tcW w:w="880" w:type="dxa"/>
          </w:tcPr>
          <w:p w14:paraId="4D05B93F" w14:textId="417E383C"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S8-S12</w:t>
            </w:r>
          </w:p>
        </w:tc>
        <w:tc>
          <w:tcPr>
            <w:tcW w:w="1000" w:type="dxa"/>
          </w:tcPr>
          <w:p w14:paraId="6FA07276" w14:textId="22402F1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Pedro</w:t>
            </w:r>
          </w:p>
        </w:tc>
        <w:tc>
          <w:tcPr>
            <w:tcW w:w="3000" w:type="dxa"/>
          </w:tcPr>
          <w:p w14:paraId="79540B21" w14:textId="135C32CC"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componentes de interfaz preconstruidos aceleran el desarrollo.</w:t>
            </w:r>
          </w:p>
        </w:tc>
        <w:tc>
          <w:tcPr>
            <w:tcW w:w="1080" w:type="dxa"/>
          </w:tcPr>
          <w:p w14:paraId="283BF158" w14:textId="5315659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En curso</w:t>
            </w:r>
          </w:p>
        </w:tc>
        <w:tc>
          <w:tcPr>
            <w:tcW w:w="3200" w:type="dxa"/>
          </w:tcPr>
          <w:p w14:paraId="1EA6764B" w14:textId="76E8505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Catálogo público y carrito construidos. El carrito vive hoy en el navegador; se reemplazará por el pedido persistido en el servidor durante el Sprint 3, junto con la gestión de pedidos.</w:t>
            </w:r>
          </w:p>
        </w:tc>
      </w:tr>
      <w:tr w:rsidR="00EE5ECB" w:rsidRPr="006E3B0D" w14:paraId="75AC8CDF" w14:textId="77777777" w:rsidTr="00EE5ECB">
        <w:tc>
          <w:tcPr>
            <w:tcW w:w="1520" w:type="dxa"/>
          </w:tcPr>
          <w:p w14:paraId="738881C7" w14:textId="495FE43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56E7B2CB" w14:textId="7EC1EE8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Motor de precios detalle/mayorista</w:t>
            </w:r>
          </w:p>
        </w:tc>
        <w:tc>
          <w:tcPr>
            <w:tcW w:w="1680" w:type="dxa"/>
          </w:tcPr>
          <w:p w14:paraId="11C2E732" w14:textId="70E9DE1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Django REST Framework, suite de pruebas</w:t>
            </w:r>
          </w:p>
        </w:tc>
        <w:tc>
          <w:tcPr>
            <w:tcW w:w="880" w:type="dxa"/>
          </w:tcPr>
          <w:p w14:paraId="7D2C2DA5" w14:textId="56F9A87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S10-S11</w:t>
            </w:r>
          </w:p>
        </w:tc>
        <w:tc>
          <w:tcPr>
            <w:tcW w:w="1000" w:type="dxa"/>
          </w:tcPr>
          <w:p w14:paraId="22E013E5" w14:textId="42C0B92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096802E6" w14:textId="768C7B9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concentra alta complejidad de negocio y exige pruebas rigurosas; un error afecta directamente la facturación del cliente.</w:t>
            </w:r>
          </w:p>
        </w:tc>
        <w:tc>
          <w:tcPr>
            <w:tcW w:w="1080" w:type="dxa"/>
          </w:tcPr>
          <w:p w14:paraId="7643E8B3" w14:textId="066E28F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Completado</w:t>
            </w:r>
          </w:p>
        </w:tc>
        <w:tc>
          <w:tcPr>
            <w:tcW w:w="3200" w:type="dxa"/>
          </w:tcPr>
          <w:p w14:paraId="26430F3E" w14:textId="4B25A4B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Se adelantó al Sprint 2 porque el cambio de modelo de datos obligaba a rehacerlo de todas formas. Cubierto por 41 pruebas, incluidos los casos de precios reales del cliente y el redondeo del IVA.</w:t>
            </w:r>
          </w:p>
        </w:tc>
      </w:tr>
      <w:tr w:rsidR="00EE5ECB" w:rsidRPr="006E3B0D" w14:paraId="31388355" w14:textId="77777777" w:rsidTr="00EE5ECB">
        <w:tc>
          <w:tcPr>
            <w:tcW w:w="1520" w:type="dxa"/>
          </w:tcPr>
          <w:p w14:paraId="4E02BC87" w14:textId="7E2C709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Construir modelos de datos</w:t>
            </w:r>
          </w:p>
        </w:tc>
        <w:tc>
          <w:tcPr>
            <w:tcW w:w="2080" w:type="dxa"/>
          </w:tcPr>
          <w:p w14:paraId="5A0772A4" w14:textId="09E863F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Modelo de pronóstico de demanda (CRISP-DM)</w:t>
            </w:r>
          </w:p>
        </w:tc>
        <w:tc>
          <w:tcPr>
            <w:tcW w:w="1680" w:type="dxa"/>
          </w:tcPr>
          <w:p w14:paraId="6AC5D11F" w14:textId="334EDD9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Python, pandas, scikit-learn, XGBoost</w:t>
            </w:r>
          </w:p>
        </w:tc>
        <w:tc>
          <w:tcPr>
            <w:tcW w:w="880" w:type="dxa"/>
          </w:tcPr>
          <w:p w14:paraId="41F48068" w14:textId="739860F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S11-S13</w:t>
            </w:r>
          </w:p>
        </w:tc>
        <w:tc>
          <w:tcPr>
            <w:tcW w:w="1000" w:type="dxa"/>
          </w:tcPr>
          <w:p w14:paraId="5BEEF038" w14:textId="37CCE5E2"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Daniel</w:t>
            </w:r>
          </w:p>
        </w:tc>
        <w:tc>
          <w:tcPr>
            <w:tcW w:w="3000" w:type="dxa"/>
          </w:tcPr>
          <w:p w14:paraId="78827765" w14:textId="4A9BD63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volumen limitado de datos históricos; se mitiga con datos sintéticos y la línea base de promedio móvil.</w:t>
            </w:r>
          </w:p>
        </w:tc>
        <w:tc>
          <w:tcPr>
            <w:tcW w:w="1080" w:type="dxa"/>
          </w:tcPr>
          <w:p w14:paraId="402B62D7" w14:textId="5775978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No iniciado</w:t>
            </w:r>
          </w:p>
        </w:tc>
        <w:tc>
          <w:tcPr>
            <w:tcW w:w="3200" w:type="dxa"/>
          </w:tcPr>
          <w:p w14:paraId="5B7BA367" w14:textId="5543F66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Programado para el Sprint 4, del 10 al 30 de noviembre. Se ajusta el nivel de agregación: el pronóstico será por producto cuando exista historial suficiente y por categoría cuando no, que es el caso del cliente piloto.</w:t>
            </w:r>
          </w:p>
        </w:tc>
      </w:tr>
      <w:tr w:rsidR="00EE5ECB" w:rsidRPr="006E3B0D" w14:paraId="299E49A4" w14:textId="77777777" w:rsidTr="00EE5ECB">
        <w:tc>
          <w:tcPr>
            <w:tcW w:w="1520" w:type="dxa"/>
          </w:tcPr>
          <w:p w14:paraId="58F89E7D" w14:textId="2B51BD9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54E4F4CE" w14:textId="79E4203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Panel de analítica del vendedor</w:t>
            </w:r>
          </w:p>
        </w:tc>
        <w:tc>
          <w:tcPr>
            <w:tcW w:w="1680" w:type="dxa"/>
          </w:tcPr>
          <w:p w14:paraId="6E90630B" w14:textId="3FB44182"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Next.js, bibliotecas de visualización</w:t>
            </w:r>
          </w:p>
        </w:tc>
        <w:tc>
          <w:tcPr>
            <w:tcW w:w="880" w:type="dxa"/>
          </w:tcPr>
          <w:p w14:paraId="34347F87" w14:textId="0141F12C"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S12-S14</w:t>
            </w:r>
          </w:p>
        </w:tc>
        <w:tc>
          <w:tcPr>
            <w:tcW w:w="1000" w:type="dxa"/>
          </w:tcPr>
          <w:p w14:paraId="5D0D327C" w14:textId="59CDC96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Pedro</w:t>
            </w:r>
          </w:p>
        </w:tc>
        <w:tc>
          <w:tcPr>
            <w:tcW w:w="3000" w:type="dxa"/>
          </w:tcPr>
          <w:p w14:paraId="5E56B415" w14:textId="46B4328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definir qué indicadores son efectivamente accionables para el cliente y no solo vistosos.</w:t>
            </w:r>
          </w:p>
        </w:tc>
        <w:tc>
          <w:tcPr>
            <w:tcW w:w="1080" w:type="dxa"/>
          </w:tcPr>
          <w:p w14:paraId="3F477F31" w14:textId="0A0386F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No iniciado</w:t>
            </w:r>
          </w:p>
        </w:tc>
        <w:tc>
          <w:tcPr>
            <w:tcW w:w="3200" w:type="dxa"/>
          </w:tcPr>
          <w:p w14:paraId="34E7546B" w14:textId="445D795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Las pantallas existen y declaran explícitamente que no están conectadas, en lugar de mostrar cifras inventadas.</w:t>
            </w:r>
          </w:p>
        </w:tc>
      </w:tr>
      <w:tr w:rsidR="00EE5ECB" w:rsidRPr="006E3B0D" w14:paraId="781BB1EB" w14:textId="77777777" w:rsidTr="00EE5ECB">
        <w:tc>
          <w:tcPr>
            <w:tcW w:w="1520" w:type="dxa"/>
          </w:tcPr>
          <w:p w14:paraId="22F761AA" w14:textId="5105B12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Construir modelos de datos</w:t>
            </w:r>
          </w:p>
        </w:tc>
        <w:tc>
          <w:tcPr>
            <w:tcW w:w="2080" w:type="dxa"/>
          </w:tcPr>
          <w:p w14:paraId="076A7FD1" w14:textId="6269691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Modelo de segmentación de clientes</w:t>
            </w:r>
          </w:p>
        </w:tc>
        <w:tc>
          <w:tcPr>
            <w:tcW w:w="1680" w:type="dxa"/>
          </w:tcPr>
          <w:p w14:paraId="1BB62C3A" w14:textId="00F0E42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Python, pandas, scikit-learn</w:t>
            </w:r>
          </w:p>
        </w:tc>
        <w:tc>
          <w:tcPr>
            <w:tcW w:w="880" w:type="dxa"/>
          </w:tcPr>
          <w:p w14:paraId="36CB627F" w14:textId="346E903A"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S13-S15</w:t>
            </w:r>
          </w:p>
        </w:tc>
        <w:tc>
          <w:tcPr>
            <w:tcW w:w="1000" w:type="dxa"/>
          </w:tcPr>
          <w:p w14:paraId="338E692B" w14:textId="109FE0E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Daniel</w:t>
            </w:r>
          </w:p>
        </w:tc>
        <w:tc>
          <w:tcPr>
            <w:tcW w:w="3000" w:type="dxa"/>
          </w:tcPr>
          <w:p w14:paraId="796577F3" w14:textId="6083EF7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reutiliza la preparación de datos del pronóstico. Obstaculizador: requiere suficiente historial de compras por cliente.</w:t>
            </w:r>
          </w:p>
        </w:tc>
        <w:tc>
          <w:tcPr>
            <w:tcW w:w="1080" w:type="dxa"/>
          </w:tcPr>
          <w:p w14:paraId="44B7A39B" w14:textId="4086C63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No iniciado</w:t>
            </w:r>
          </w:p>
        </w:tc>
        <w:tc>
          <w:tcPr>
            <w:tcW w:w="3200" w:type="dxa"/>
          </w:tcPr>
          <w:p w14:paraId="540C54BD" w14:textId="0D6F18A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Programado para el Sprint 4. Sin ajustes al objetivo.</w:t>
            </w:r>
          </w:p>
        </w:tc>
      </w:tr>
      <w:tr w:rsidR="00EE5ECB" w:rsidRPr="006E3B0D" w14:paraId="46D739DE" w14:textId="77777777" w:rsidTr="00EE5ECB">
        <w:tc>
          <w:tcPr>
            <w:tcW w:w="1520" w:type="dxa"/>
          </w:tcPr>
          <w:p w14:paraId="2E4F5D22" w14:textId="7A109A7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35B4B067" w14:textId="6A03FB5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Motor de recomendación de descuentos</w:t>
            </w:r>
          </w:p>
        </w:tc>
        <w:tc>
          <w:tcPr>
            <w:tcW w:w="1680" w:type="dxa"/>
          </w:tcPr>
          <w:p w14:paraId="6FE02B18" w14:textId="35CD0B9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Django REST Framework, Next.js</w:t>
            </w:r>
          </w:p>
        </w:tc>
        <w:tc>
          <w:tcPr>
            <w:tcW w:w="880" w:type="dxa"/>
          </w:tcPr>
          <w:p w14:paraId="05E22318" w14:textId="1642B6C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S15-S16</w:t>
            </w:r>
          </w:p>
        </w:tc>
        <w:tc>
          <w:tcPr>
            <w:tcW w:w="1000" w:type="dxa"/>
          </w:tcPr>
          <w:p w14:paraId="4F690E6F" w14:textId="186A29F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0C5B9371" w14:textId="3BD7A08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no requiere un tercer modelo. Era el primer componente a reducir si el calendario se estrechaba.</w:t>
            </w:r>
          </w:p>
        </w:tc>
        <w:tc>
          <w:tcPr>
            <w:tcW w:w="1080" w:type="dxa"/>
          </w:tcPr>
          <w:p w14:paraId="303404BB" w14:textId="5A36015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Ajustada</w:t>
            </w:r>
          </w:p>
        </w:tc>
        <w:tc>
          <w:tcPr>
            <w:tcW w:w="3200" w:type="dxa"/>
          </w:tcPr>
          <w:p w14:paraId="56A659FE" w14:textId="64DDECB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Eliminada del alcance el 04-10-2026. El cliente no opera con descuentos porcentuales sino con precios por volumen, y el componente dependía de que ambos modelos estuvieran terminados. Se declara trabajo futuro.</w:t>
            </w:r>
          </w:p>
        </w:tc>
      </w:tr>
      <w:tr w:rsidR="00EE5ECB" w:rsidRPr="006E3B0D" w14:paraId="50941DD3" w14:textId="77777777" w:rsidTr="00EE5ECB">
        <w:tc>
          <w:tcPr>
            <w:tcW w:w="1520" w:type="dxa"/>
          </w:tcPr>
          <w:p w14:paraId="33DCDE73" w14:textId="30D0578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3B4EAE81" w14:textId="43BB488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Asistente conversacional del vendedor</w:t>
            </w:r>
          </w:p>
        </w:tc>
        <w:tc>
          <w:tcPr>
            <w:tcW w:w="1680" w:type="dxa"/>
          </w:tcPr>
          <w:p w14:paraId="548964B4" w14:textId="02D99B5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API de modelo de lenguaje, capa de acceso restringida</w:t>
            </w:r>
          </w:p>
        </w:tc>
        <w:tc>
          <w:tcPr>
            <w:tcW w:w="880" w:type="dxa"/>
          </w:tcPr>
          <w:p w14:paraId="35E91F10" w14:textId="7129129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S15-S16</w:t>
            </w:r>
          </w:p>
        </w:tc>
        <w:tc>
          <w:tcPr>
            <w:tcW w:w="1000" w:type="dxa"/>
          </w:tcPr>
          <w:p w14:paraId="4B598234" w14:textId="4FBB680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43E4D31E" w14:textId="63939DDA"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componente de mayor incertidumbre técnica; alcance acotado a consultas predefinidas como medida de control.</w:t>
            </w:r>
          </w:p>
        </w:tc>
        <w:tc>
          <w:tcPr>
            <w:tcW w:w="1080" w:type="dxa"/>
          </w:tcPr>
          <w:p w14:paraId="3C83F1A7" w14:textId="311B99F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No iniciado</w:t>
            </w:r>
          </w:p>
        </w:tc>
        <w:tc>
          <w:tcPr>
            <w:tcW w:w="3200" w:type="dxa"/>
          </w:tcPr>
          <w:p w14:paraId="2CDA5FA6" w14:textId="0AEDCC62"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Programado para el Sprint 4. Queda por decidir el proveedor del modelo de lenguaje y su presupuesto.</w:t>
            </w:r>
          </w:p>
        </w:tc>
      </w:tr>
      <w:tr w:rsidR="00EE5ECB" w:rsidRPr="006E3B0D" w14:paraId="79CF2986" w14:textId="77777777" w:rsidTr="00EE5ECB">
        <w:tc>
          <w:tcPr>
            <w:tcW w:w="1520" w:type="dxa"/>
          </w:tcPr>
          <w:p w14:paraId="3DE22064" w14:textId="5FC67B8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Desarrollar una solución de software</w:t>
            </w:r>
          </w:p>
        </w:tc>
        <w:tc>
          <w:tcPr>
            <w:tcW w:w="2080" w:type="dxa"/>
          </w:tcPr>
          <w:p w14:paraId="27016C5A" w14:textId="5C7EDA04"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Contenerización e implantación</w:t>
            </w:r>
          </w:p>
        </w:tc>
        <w:tc>
          <w:tcPr>
            <w:tcW w:w="1680" w:type="dxa"/>
          </w:tcPr>
          <w:p w14:paraId="7CA6923B" w14:textId="097EA6B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Docker, docker-compose, Cloudflare</w:t>
            </w:r>
          </w:p>
        </w:tc>
        <w:tc>
          <w:tcPr>
            <w:tcW w:w="880" w:type="dxa"/>
          </w:tcPr>
          <w:p w14:paraId="1D44E3F6" w14:textId="5ACE9D7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S16-S17</w:t>
            </w:r>
          </w:p>
        </w:tc>
        <w:tc>
          <w:tcPr>
            <w:tcW w:w="1000" w:type="dxa"/>
          </w:tcPr>
          <w:p w14:paraId="76EA1806" w14:textId="437B8FA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0DA89F36" w14:textId="764401EA"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el despliegue continuo opera desde etapas tempranas, reduciendo el riesgo de la puesta en marcha final.</w:t>
            </w:r>
          </w:p>
        </w:tc>
        <w:tc>
          <w:tcPr>
            <w:tcW w:w="1080" w:type="dxa"/>
          </w:tcPr>
          <w:p w14:paraId="18F08601" w14:textId="2A0A69F1"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En curso</w:t>
            </w:r>
          </w:p>
        </w:tc>
        <w:tc>
          <w:tcPr>
            <w:tcW w:w="3200" w:type="dxa"/>
          </w:tcPr>
          <w:p w14:paraId="5E518E5B" w14:textId="6C8F06C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La contenerización está operativa desde el Sprint 1 y es la forma habitual de trabajo. Queda pendiente el despliegue en producción, previsto para el cierre.</w:t>
            </w:r>
          </w:p>
        </w:tc>
      </w:tr>
      <w:tr w:rsidR="00EE5ECB" w:rsidRPr="006E3B0D" w14:paraId="237E06E3" w14:textId="77777777" w:rsidTr="00EE5ECB">
        <w:tc>
          <w:tcPr>
            <w:tcW w:w="1520" w:type="dxa"/>
          </w:tcPr>
          <w:p w14:paraId="1B20568F" w14:textId="46051F3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Realizar pruebas de certificación</w:t>
            </w:r>
          </w:p>
        </w:tc>
        <w:tc>
          <w:tcPr>
            <w:tcW w:w="2080" w:type="dxa"/>
          </w:tcPr>
          <w:p w14:paraId="42A55D07" w14:textId="4D8C8B07"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Ejecución del plan de pruebas</w:t>
            </w:r>
          </w:p>
        </w:tc>
        <w:tc>
          <w:tcPr>
            <w:tcW w:w="1680" w:type="dxa"/>
          </w:tcPr>
          <w:p w14:paraId="5CEEAE68" w14:textId="23BE6EE6"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Suite de pruebas automatizadas, entorno contenerizado</w:t>
            </w:r>
          </w:p>
        </w:tc>
        <w:tc>
          <w:tcPr>
            <w:tcW w:w="880" w:type="dxa"/>
          </w:tcPr>
          <w:p w14:paraId="4BA5B5F4" w14:textId="5BB141D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S13-S17</w:t>
            </w:r>
          </w:p>
        </w:tc>
        <w:tc>
          <w:tcPr>
            <w:tcW w:w="1000" w:type="dxa"/>
          </w:tcPr>
          <w:p w14:paraId="2F423A3E" w14:textId="3A3808E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1AC125E1" w14:textId="12BB9045"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las pruebas se ejecutan de forma continua desde el primer sprint, no solo al final.</w:t>
            </w:r>
          </w:p>
        </w:tc>
        <w:tc>
          <w:tcPr>
            <w:tcW w:w="1080" w:type="dxa"/>
          </w:tcPr>
          <w:p w14:paraId="7ED6FBE8" w14:textId="409A5992"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En curso</w:t>
            </w:r>
          </w:p>
        </w:tc>
        <w:tc>
          <w:tcPr>
            <w:tcW w:w="3200" w:type="dxa"/>
          </w:tcPr>
          <w:p w14:paraId="188AE4F3" w14:textId="7C6AF9D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Adelantada respecto del plan. A la fecha hay 463 pruebas en verde, con un conjunto dedicado al control de acceso entre tiendas.</w:t>
            </w:r>
          </w:p>
        </w:tc>
      </w:tr>
      <w:tr w:rsidR="00EE5ECB" w:rsidRPr="006E3B0D" w14:paraId="1A2E0BAB" w14:textId="77777777" w:rsidTr="00EE5ECB">
        <w:tc>
          <w:tcPr>
            <w:tcW w:w="1520" w:type="dxa"/>
          </w:tcPr>
          <w:p w14:paraId="7757F5B8" w14:textId="2EFFE26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Realizar pruebas de certificación</w:t>
            </w:r>
          </w:p>
        </w:tc>
        <w:tc>
          <w:tcPr>
            <w:tcW w:w="2080" w:type="dxa"/>
          </w:tcPr>
          <w:p w14:paraId="047A8584" w14:textId="299E85A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Correcciones y mejoras del producto</w:t>
            </w:r>
          </w:p>
        </w:tc>
        <w:tc>
          <w:tcPr>
            <w:tcW w:w="1680" w:type="dxa"/>
          </w:tcPr>
          <w:p w14:paraId="6B60BB31" w14:textId="417B3762"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GitHub, tablero de Trello</w:t>
            </w:r>
          </w:p>
        </w:tc>
        <w:tc>
          <w:tcPr>
            <w:tcW w:w="880" w:type="dxa"/>
          </w:tcPr>
          <w:p w14:paraId="78FA4760" w14:textId="2F0875E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S16-S17</w:t>
            </w:r>
          </w:p>
        </w:tc>
        <w:tc>
          <w:tcPr>
            <w:tcW w:w="1000" w:type="dxa"/>
          </w:tcPr>
          <w:p w14:paraId="34912264" w14:textId="72A00DC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3EE11B30" w14:textId="013EB7D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los hallazgos tardíos disponen de poco margen de corrección.</w:t>
            </w:r>
          </w:p>
        </w:tc>
        <w:tc>
          <w:tcPr>
            <w:tcW w:w="1080" w:type="dxa"/>
          </w:tcPr>
          <w:p w14:paraId="5CDCD781" w14:textId="5E1E528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En curso</w:t>
            </w:r>
          </w:p>
        </w:tc>
        <w:tc>
          <w:tcPr>
            <w:tcW w:w="3200" w:type="dxa"/>
          </w:tcPr>
          <w:p w14:paraId="1F444C41" w14:textId="4C51903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Se adelantó: los hallazgos se incorporan al backlog en cada sprint. Las retrospectivas de los sprints 1 y 2 dejaron acciones concretas que ya se aplicaron.</w:t>
            </w:r>
          </w:p>
        </w:tc>
      </w:tr>
      <w:tr w:rsidR="00EE5ECB" w:rsidRPr="006E3B0D" w14:paraId="5EB13480" w14:textId="77777777" w:rsidTr="00EE5ECB">
        <w:tc>
          <w:tcPr>
            <w:tcW w:w="1520" w:type="dxa"/>
          </w:tcPr>
          <w:p w14:paraId="6A7DCE75" w14:textId="70174F1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Realizar pruebas de certificación</w:t>
            </w:r>
          </w:p>
        </w:tc>
        <w:tc>
          <w:tcPr>
            <w:tcW w:w="2080" w:type="dxa"/>
          </w:tcPr>
          <w:p w14:paraId="7766400F" w14:textId="494345B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Evaluación de usabilidad con el cliente</w:t>
            </w:r>
          </w:p>
        </w:tc>
        <w:tc>
          <w:tcPr>
            <w:tcW w:w="1680" w:type="dxa"/>
          </w:tcPr>
          <w:p w14:paraId="28B46C52" w14:textId="34D6FF4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Pauta de usabilidad, sesión presencial</w:t>
            </w:r>
          </w:p>
        </w:tc>
        <w:tc>
          <w:tcPr>
            <w:tcW w:w="880" w:type="dxa"/>
          </w:tcPr>
          <w:p w14:paraId="2CAC5CC8" w14:textId="370D5483"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S17</w:t>
            </w:r>
          </w:p>
        </w:tc>
        <w:tc>
          <w:tcPr>
            <w:tcW w:w="1000" w:type="dxa"/>
          </w:tcPr>
          <w:p w14:paraId="6B703A12" w14:textId="1570052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Pedro</w:t>
            </w:r>
          </w:p>
        </w:tc>
        <w:tc>
          <w:tcPr>
            <w:tcW w:w="3000" w:type="dxa"/>
          </w:tcPr>
          <w:p w14:paraId="4B70C770" w14:textId="058166C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Facilitador: cercanía y disposición del cliente. Obstaculizador: coordinar la agenda en período de evaluaciones finales.</w:t>
            </w:r>
          </w:p>
        </w:tc>
        <w:tc>
          <w:tcPr>
            <w:tcW w:w="1080" w:type="dxa"/>
          </w:tcPr>
          <w:p w14:paraId="409FFA1D" w14:textId="5051BFEE"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No iniciado</w:t>
            </w:r>
          </w:p>
        </w:tc>
        <w:tc>
          <w:tcPr>
            <w:tcW w:w="3200" w:type="dxa"/>
          </w:tcPr>
          <w:p w14:paraId="544B0FFD" w14:textId="6B3CF828"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Sin ajustes. Se mantiene para el cierre. Las validaciones parciales con el cliente se han realizado al término de cada sprint.</w:t>
            </w:r>
          </w:p>
        </w:tc>
      </w:tr>
      <w:tr w:rsidR="00EE5ECB" w:rsidRPr="006E3B0D" w14:paraId="06784349" w14:textId="77777777" w:rsidTr="00EE5ECB">
        <w:tc>
          <w:tcPr>
            <w:tcW w:w="1520" w:type="dxa"/>
          </w:tcPr>
          <w:p w14:paraId="19ABD9E8" w14:textId="1D09098C"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Gestionar proyectos informáticos</w:t>
            </w:r>
          </w:p>
        </w:tc>
        <w:tc>
          <w:tcPr>
            <w:tcW w:w="2080" w:type="dxa"/>
          </w:tcPr>
          <w:p w14:paraId="70D36555" w14:textId="7EC012CD"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Documentación final y defensa</w:t>
            </w:r>
          </w:p>
        </w:tc>
        <w:tc>
          <w:tcPr>
            <w:tcW w:w="1680" w:type="dxa"/>
          </w:tcPr>
          <w:p w14:paraId="78E355BA" w14:textId="299E4599"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Documentación técnica, repositorio, presentación</w:t>
            </w:r>
          </w:p>
        </w:tc>
        <w:tc>
          <w:tcPr>
            <w:tcW w:w="880" w:type="dxa"/>
          </w:tcPr>
          <w:p w14:paraId="445CB77B" w14:textId="37E0D3A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S17-S18</w:t>
            </w:r>
          </w:p>
        </w:tc>
        <w:tc>
          <w:tcPr>
            <w:tcW w:w="1000" w:type="dxa"/>
          </w:tcPr>
          <w:p w14:paraId="33F7CDB7" w14:textId="4723812F"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Ambos</w:t>
            </w:r>
          </w:p>
        </w:tc>
        <w:tc>
          <w:tcPr>
            <w:tcW w:w="3000" w:type="dxa"/>
          </w:tcPr>
          <w:p w14:paraId="449BABC3" w14:textId="381FBCAB"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Obstaculizador: coincide con el período de evaluaciones finales; se mitiga documentando de forma continua desde el sprint 1.</w:t>
            </w:r>
          </w:p>
        </w:tc>
        <w:tc>
          <w:tcPr>
            <w:tcW w:w="1080" w:type="dxa"/>
          </w:tcPr>
          <w:p w14:paraId="23194038" w14:textId="3495C8BC"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En curso</w:t>
            </w:r>
          </w:p>
        </w:tc>
        <w:tc>
          <w:tcPr>
            <w:tcW w:w="3200" w:type="dxa"/>
          </w:tcPr>
          <w:p w14:paraId="1AC158CC" w14:textId="71429B40" w:rsidR="00EE5ECB" w:rsidRPr="00EE5ECB" w:rsidRDefault="00EE5ECB" w:rsidP="00EE5ECB">
            <w:pPr>
              <w:spacing w:after="0" w:line="240" w:lineRule="auto"/>
              <w:rPr>
                <w:rFonts w:ascii="Calibri" w:hAnsi="Calibri" w:cs="Arial"/>
                <w:color w:val="000000"/>
                <w:sz w:val="14"/>
                <w:szCs w:val="20"/>
                <w:lang w:eastAsia="es-CL"/>
              </w:rPr>
            </w:pPr>
            <w:r w:rsidRPr="00EE5ECB">
              <w:rPr>
                <w:rFonts w:ascii="Calibri" w:hAnsi="Calibri" w:cs="Arial"/>
                <w:color w:val="000000"/>
                <w:sz w:val="14"/>
                <w:szCs w:val="20"/>
                <w:lang w:eastAsia="es-CL"/>
              </w:rPr>
              <w:t>La documentación se mantiene al día por sprint, de modo que el cierre consolide en lugar de redactar desde cero.</w:t>
            </w:r>
          </w:p>
        </w:tc>
      </w:tr>
    </w:tbl>
    <w:p w14:paraId="234AE6FB" w14:textId="77777777" w:rsidR="00EE5ECB" w:rsidRDefault="00EE5ECB" w:rsidP="0003309E">
      <w:pPr>
        <w:rPr>
          <w:rFonts w:cs="Calibri Light"/>
          <w:color w:val="595959" w:themeColor="text1" w:themeTint="A6"/>
          <w:sz w:val="24"/>
          <w:szCs w:val="24"/>
          <w:lang w:val="es-ES"/>
        </w:rPr>
        <w:sectPr w:rsidR="00EE5ECB" w:rsidSect="00EE5ECB">
          <w:pgSz w:w="16838" w:h="11906" w:orient="landscape"/>
          <w:pgMar w:top="900" w:right="800" w:bottom="900" w:left="800" w:header="708" w:footer="708" w:gutter="0"/>
          <w:cols w:space="708"/>
          <w:docGrid w:linePitch="360"/>
        </w:sectPr>
      </w:pPr>
    </w:p>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5FED6111" w14:textId="77777777" w:rsidR="00EE5ECB" w:rsidRPr="00EE5ECB" w:rsidRDefault="00EE5ECB" w:rsidP="00EE5ECB">
            <w:pPr>
              <w:spacing w:after="120"/>
              <w:rPr>
                <w:rFonts w:ascii="Calibri" w:hAnsi="Calibri"/>
                <w:b/>
                <w:color w:val="000000"/>
                <w:sz w:val="19"/>
              </w:rPr>
            </w:pPr>
            <w:r w:rsidRPr="00EE5ECB">
              <w:rPr>
                <w:rFonts w:ascii="Calibri" w:hAnsi="Calibri"/>
                <w:b/>
                <w:color w:val="000000"/>
                <w:sz w:val="19"/>
              </w:rPr>
              <w:t>Factores que han facilitado y/o dificultado el desarrollo de mi plan de trabajo:</w:t>
            </w:r>
          </w:p>
          <w:p w14:paraId="29D6017B"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Factores que han facilitado el desarrollo.</w:t>
            </w:r>
          </w:p>
          <w:p w14:paraId="3D9535CF"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El acceso directo al cliente. Joyas_ye es un contacto cercano del equipo, lo que permitió resolver dudas de negocio en días y no en semanas. La confirmación de que los umbrales de precio son inclusivos, por ejemplo, se obtuvo el 27 de septiembre y se programó en el mismo sprint.</w:t>
            </w:r>
          </w:p>
          <w:p w14:paraId="471F2959"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Haber construido primero la base y no las funcionalidades vistosas. El aislamiento entre tiendas, la autenticación y el entorno contenerizado se terminaron en el Sprint 1. Como consecuencia, cada funcionalidad posterior se apoyó en esa capa en lugar de reimplementarla, y ninguna obligó a volver atrás sobre decisiones de seguridad.</w:t>
            </w:r>
          </w:p>
          <w:p w14:paraId="5D9CB082"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Las pruebas automatizadas desde el primer sprint. Al cambiar el modelo de datos en octubre, las pruebas existentes señalaron con precisión qué se había roto. Sin ellas ese cambio habría sido inabordable a mitad de proyecto.</w:t>
            </w:r>
          </w:p>
          <w:p w14:paraId="30E9CF91"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Factores que han dificultado el desarrollo, y cómo se abordaron.</w:t>
            </w:r>
          </w:p>
          <w:p w14:paraId="3F9517D5"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El modelo de datos inicial estaba hecho a la medida del cliente piloto. Se había modelado la forma de vender de Joyas_ye —lotes y venta por gramo— como si fuera el modelo de la plataforma, cuando el proyecto declara servir a cualquier comercio del retail. Detectarlo a mitad del desarrollo obligó a rehacer el modelo, las migraciones, la carga masiva y parte del frontend. Se abordó reemplazando ambas entidades por una sola entidad Producto con forma de venta configurable, y dejando la configuración del cliente piloto documentada en una sección aparte de las reglas del proyecto. La acción de fondo fue incorporar a esas reglas la distinción entre la plataforma y el cliente, para que el criterio no dependa de recordarlo.</w:t>
            </w:r>
          </w:p>
          <w:p w14:paraId="02F3280E"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La ausencia de historial de ventas del cliente. El pronóstico de demanda suponía disponer de registros históricos por producto y fecha, y el cliente no los conserva con ese detalle. Se aborda generando datos sintéticos calibrados con los montos reales que sí entregó, rotulando en la interfaz toda cifra producida con ellos, y evaluando los modelos contra una línea base explícita para que el resultado sea interpretable aun con datos simulados.</w:t>
            </w:r>
          </w:p>
          <w:p w14:paraId="6F65CD5D"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La carga académica paralela. El equipo son dos personas que cursan el resto del semestre. Se abordó alargando los sprints de dos a tres semanas, lo que redujo a la mitad el tiempo dedicado a ceremonias, y sincronizando a diario por mensajería en lugar de agendar reuniones formales, acuerdo que salió de la retrospectiva del Sprint 1.</w:t>
            </w:r>
          </w:p>
          <w:p w14:paraId="55313032" w14:textId="711318C3" w:rsidR="0003309E" w:rsidRPr="00EE5ECB" w:rsidRDefault="00EE5ECB" w:rsidP="00EE5ECB">
            <w:pPr>
              <w:spacing w:after="120"/>
              <w:rPr>
                <w:rFonts w:ascii="Calibri" w:hAnsi="Calibri" w:cs="Arial"/>
                <w:color w:val="000000"/>
                <w:sz w:val="19"/>
                <w:szCs w:val="20"/>
                <w:lang w:eastAsia="es-CL"/>
              </w:rPr>
            </w:pPr>
            <w:r w:rsidRPr="00EE5ECB">
              <w:rPr>
                <w:rFonts w:ascii="Calibri" w:hAnsi="Calibri"/>
                <w:color w:val="000000"/>
                <w:sz w:val="19"/>
              </w:rPr>
              <w:t>Documentos que se desincronizaron entre sí. Al avanzar en paralelo la construcción y la documentación, una misma historia llegó a tener códigos distintos en documentos distintos, y el documento de arquitectura llegó a contradecir una decisión de seguridad ya tomada. Se abordó con una revisión cruzada de todos los documentos contra el código y contra el Sprint Backlog, y se dejó registro de cada cambio de alcance en una matriz de control de cambios con su fecha, su responsable y su motivo.</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01F679C5" w14:textId="77777777" w:rsidR="00EE5ECB" w:rsidRPr="00EE5ECB" w:rsidRDefault="00EE5ECB" w:rsidP="00EE5ECB">
            <w:pPr>
              <w:spacing w:after="120"/>
              <w:rPr>
                <w:rFonts w:ascii="Calibri" w:hAnsi="Calibri"/>
                <w:b/>
                <w:color w:val="000000"/>
                <w:sz w:val="19"/>
              </w:rPr>
            </w:pPr>
            <w:r w:rsidRPr="00EE5ECB">
              <w:rPr>
                <w:rFonts w:ascii="Calibri" w:hAnsi="Calibri"/>
                <w:b/>
                <w:color w:val="000000"/>
                <w:sz w:val="19"/>
              </w:rPr>
              <w:t>Actividades ajustadas o eliminadas:</w:t>
            </w:r>
          </w:p>
          <w:p w14:paraId="07EE7F94"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Se eliminó una actividad y se reformularon tres.</w:t>
            </w:r>
          </w:p>
          <w:p w14:paraId="1B498E71"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Eliminada: motor de recomendación de descuentos. Se retiró del alcance el 04 de octubre de 2026. La justificación es doble. Por el lado del negocio, el cliente no opera con descuentos porcentuales sino con precios diferenciados según el volumen comprado, de modo que una sugerencia de descuento no tendría dónde aplicarse en su operación real. Por el lado del calendario, la actividad dependía de que el pronóstico y la segmentación estuvieran terminados y evaluados, y quedaba comprimida en las últimas semanas junto con la implantación y la documentación final. El propio plan de la Fase 1 ya la identificaba como el primer componente a reducir si el calendario se estrechaba. Se declara trabajo futuro.</w:t>
            </w:r>
          </w:p>
          <w:p w14:paraId="15A8C756"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Reformulada: módulo de ingesta de datos. Pasó de cargar el historial de ventas a cargar el catálogo del comercio —productos, tramos de precio y fotografías— porque el cliente no conserva su historial con el detalle que el pronóstico requiere. El cambio mantiene la competencia asociada y la carga de trabajo, y además resuelve una necesidad que el cliente sí tiene a diario, porque su catálogo rota con frecuencia.</w:t>
            </w:r>
          </w:p>
          <w:p w14:paraId="78E0D002"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Reformulada: diseño del modelo de datos. Las entidades Lote y LineaGranel se reemplazaron por una sola entidad Producto con forma de venta, control de inventario opcional y unidad de medida. El modelo anterior describía la forma de vender del cliente piloto y no la de cualquier comercio, que es lo que el proyecto declara resolver.</w:t>
            </w:r>
          </w:p>
          <w:p w14:paraId="28D44A8B"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Reformulada: planificación del proyecto. La cadencia pasó de ocho sprints de dos semanas a cuatro de tres semanas más una etapa de cierre, y la herramienta de gestión de Jira a Trello. Las razones están desarrolladas en el apartado de metodología.</w:t>
            </w:r>
          </w:p>
          <w:p w14:paraId="3B4EBD17" w14:textId="733C780E" w:rsidR="0003309E" w:rsidRPr="00EE5ECB" w:rsidRDefault="00EE5ECB" w:rsidP="00EE5ECB">
            <w:pPr>
              <w:spacing w:after="120"/>
              <w:rPr>
                <w:rFonts w:ascii="Calibri" w:hAnsi="Calibri" w:cs="Arial"/>
                <w:color w:val="000000"/>
                <w:sz w:val="19"/>
                <w:szCs w:val="20"/>
                <w:lang w:eastAsia="es-CL"/>
              </w:rPr>
            </w:pPr>
            <w:r w:rsidRPr="00EE5ECB">
              <w:rPr>
                <w:rFonts w:ascii="Calibri" w:hAnsi="Calibri"/>
                <w:color w:val="000000"/>
                <w:sz w:val="19"/>
              </w:rPr>
              <w:t>Las trece actividades restantes se mantienen tal como fueron planificadas. El alcance comprometido, las competencias asociadas y los responsables no cambian.</w:t>
            </w: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53FD59F9" w14:textId="77777777" w:rsidR="00EE5ECB" w:rsidRPr="00EE5ECB" w:rsidRDefault="00EE5ECB" w:rsidP="00EE5ECB">
            <w:pPr>
              <w:spacing w:after="120"/>
              <w:rPr>
                <w:rFonts w:ascii="Calibri" w:hAnsi="Calibri"/>
                <w:b/>
                <w:color w:val="000000"/>
                <w:sz w:val="19"/>
              </w:rPr>
            </w:pPr>
            <w:r w:rsidRPr="00EE5ECB">
              <w:rPr>
                <w:rFonts w:ascii="Calibri" w:hAnsi="Calibri"/>
                <w:b/>
                <w:color w:val="000000"/>
                <w:sz w:val="19"/>
              </w:rPr>
              <w:t>Actividades que no has iniciado o están retrasadas:</w:t>
            </w:r>
          </w:p>
          <w:p w14:paraId="5197DF01"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No hay actividades retrasadas respecto de la planificación vigente.</w:t>
            </w:r>
          </w:p>
          <w:p w14:paraId="01CD074F"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Cinco actividades figuran como no iniciadas: el modelo de pronóstico de demanda, el panel de analítica del vendedor, el modelo de segmentación de clientes, el asistente conversacional y la evaluación de usabilidad con el cliente. Ninguna está retrasada: las cuatro primeras corresponden al Sprint 4, programado entre el 10 y el 30 de noviembre, y la quinta a la etapa de cierre. Sus semanas en el plan original (S11 a S17) son posteriores a la fecha de este informe.</w:t>
            </w:r>
          </w:p>
          <w:p w14:paraId="57ADACF0"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Dos actividades se adelantaron respecto del plan. El motor de precios, previsto para las semanas 10 y 11, se construyó durante el Sprint 2, porque el cambio del modelo de datos obligaba a rehacerlo de todas formas y resultaba más económico hacerlo una sola vez. La ejecución del plan de pruebas, prevista a partir de la semana 13, opera desde el Sprint 1 como parte del criterio de terminado.</w:t>
            </w:r>
          </w:p>
          <w:p w14:paraId="7A84222C" w14:textId="77777777" w:rsidR="00EE5ECB" w:rsidRPr="00EE5ECB" w:rsidRDefault="00EE5ECB" w:rsidP="00EE5ECB">
            <w:pPr>
              <w:spacing w:after="120"/>
              <w:rPr>
                <w:rFonts w:ascii="Calibri" w:hAnsi="Calibri"/>
                <w:color w:val="000000"/>
                <w:sz w:val="19"/>
              </w:rPr>
            </w:pPr>
            <w:r w:rsidRPr="00EE5ECB">
              <w:rPr>
                <w:rFonts w:ascii="Calibri" w:hAnsi="Calibri"/>
                <w:color w:val="000000"/>
                <w:sz w:val="19"/>
              </w:rPr>
              <w:t>Una actividad quedó en suspenso por una causa externa. Se construyó la agenda de visitas a la tienda, funcionalidad no contemplada en el plan original, y quedó congelada a la espera de que el cliente confirme si la mantiene dentro del alcance. El lado público está operativo y no se elimina hasta recibir esa respuesta. Mientras tanto no se le agregan funcionalidades, de modo que no consume tiempo del núcleo del proyecto.</w:t>
            </w:r>
          </w:p>
          <w:p w14:paraId="47ABBD27" w14:textId="0F3BF67F" w:rsidR="0003309E" w:rsidRPr="00EE5ECB" w:rsidRDefault="00EE5ECB" w:rsidP="00EE5ECB">
            <w:pPr>
              <w:spacing w:after="120"/>
              <w:rPr>
                <w:rFonts w:ascii="Calibri" w:hAnsi="Calibri" w:cs="Arial"/>
                <w:color w:val="000000"/>
                <w:sz w:val="19"/>
                <w:szCs w:val="20"/>
                <w:lang w:eastAsia="es-CL"/>
              </w:rPr>
            </w:pPr>
            <w:r w:rsidRPr="00EE5ECB">
              <w:rPr>
                <w:rFonts w:ascii="Calibri" w:hAnsi="Calibri"/>
                <w:color w:val="000000"/>
                <w:sz w:val="19"/>
              </w:rPr>
              <w:t>Estrategia para el tramo restante. El riesgo concentrado está en el Sprint 4, que reúne los tres componentes de inteligencia y suma 147 horas estimadas. Para abordarlo se tomaron tres medidas: eliminar del alcance el motor de recomendación de descuentos, que era el componente dependiente de los otros dos; preparar los datos sintéticos con anticipación, de modo que el sprint comience con el conjunto de entrenamiento disponible; y mantener cada modelo contrastado contra una línea base explícita, para que un resultado insuficiente se detecte temprano y no al final.</w:t>
            </w:r>
          </w:p>
        </w:tc>
      </w:tr>
    </w:tbl>
    <w:p w14:paraId="23A72E3B" w14:textId="77777777" w:rsidR="0003309E" w:rsidRPr="0003309E" w:rsidRDefault="0003309E">
      <w:pPr>
        <w:rPr>
          <w:lang w:val="es-ES"/>
        </w:rPr>
      </w:pPr>
    </w:p>
    <w:sectPr w:rsidR="0003309E" w:rsidRPr="0003309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CA44A" w14:textId="77777777" w:rsidR="00263477" w:rsidRDefault="00263477" w:rsidP="0003309E">
      <w:pPr>
        <w:spacing w:after="0" w:line="240" w:lineRule="auto"/>
      </w:pPr>
      <w:r>
        <w:separator/>
      </w:r>
    </w:p>
  </w:endnote>
  <w:endnote w:type="continuationSeparator" w:id="0">
    <w:p w14:paraId="3CD01434" w14:textId="77777777" w:rsidR="00263477" w:rsidRDefault="00263477"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729B8A" w14:textId="77777777" w:rsidR="00263477" w:rsidRDefault="00263477" w:rsidP="0003309E">
      <w:pPr>
        <w:spacing w:after="0" w:line="240" w:lineRule="auto"/>
      </w:pPr>
      <w:r>
        <w:separator/>
      </w:r>
    </w:p>
  </w:footnote>
  <w:footnote w:type="continuationSeparator" w:id="0">
    <w:p w14:paraId="38B43CA4" w14:textId="77777777" w:rsidR="00263477" w:rsidRDefault="00263477"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178666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22229B"/>
    <w:rsid w:val="00263477"/>
    <w:rsid w:val="003608EA"/>
    <w:rsid w:val="00470CE4"/>
    <w:rsid w:val="004B75F6"/>
    <w:rsid w:val="00521026"/>
    <w:rsid w:val="00545F23"/>
    <w:rsid w:val="00563B43"/>
    <w:rsid w:val="00586C9C"/>
    <w:rsid w:val="005A0A7C"/>
    <w:rsid w:val="005B4D4A"/>
    <w:rsid w:val="00603474"/>
    <w:rsid w:val="00675035"/>
    <w:rsid w:val="00675A73"/>
    <w:rsid w:val="006858A7"/>
    <w:rsid w:val="00695E7C"/>
    <w:rsid w:val="006B242E"/>
    <w:rsid w:val="00806DE0"/>
    <w:rsid w:val="0081536B"/>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F3386"/>
    <w:rsid w:val="00E50368"/>
    <w:rsid w:val="00EA0C09"/>
    <w:rsid w:val="00EE5ECB"/>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3612</Words>
  <Characters>19870</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PEDRO NICOLAS SANTIBANEZ BLACK</cp:lastModifiedBy>
  <cp:revision>2</cp:revision>
  <dcterms:created xsi:type="dcterms:W3CDTF">2026-10-17T21:37:00Z</dcterms:created>
  <dcterms:modified xsi:type="dcterms:W3CDTF">2026-10-17T21:37:00Z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