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“DEALCOMMERCE”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[08/09/2026]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evyyysgmlzwq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9406796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rd5o4ie5tl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4oqiwm471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k48s8me5y8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7dg53ljz10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yrd5o4ie5tlx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9"/>
        <w:gridCol w:w="1807"/>
        <w:gridCol w:w="3041"/>
        <w:gridCol w:w="2191"/>
        <w:tblGridChange w:id="0">
          <w:tblGrid>
            <w:gridCol w:w="1789"/>
            <w:gridCol w:w="1807"/>
            <w:gridCol w:w="3041"/>
            <w:gridCol w:w="21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08/09/2026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Creacion documento de épicas y priorización base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Daniel Antonio Azócar Pizarro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58ucpuz2wx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002-D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DEALCOMMERCE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05/09/2026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Diciembre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Dueño joyas_ye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Juan Andrés Hernández Aliaga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yowsgn68qsx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00000000002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3401"/>
        <w:gridCol w:w="3231"/>
        <w:tblGridChange w:id="0">
          <w:tblGrid>
            <w:gridCol w:w="2088"/>
            <w:gridCol w:w="3401"/>
            <w:gridCol w:w="3231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21.172.958-9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Daniel Antonio Azócar Pizarro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Da.azocar@duocuc.cl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20.880.549-5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Pedro Nicolás Santibañez Black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Pedr.santibanez@duocuc.cl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mb4oqiwm4714" w:id="4"/>
      <w:bookmarkEnd w:id="4"/>
      <w:r w:rsidDel="00000000" w:rsidR="00000000" w:rsidRPr="00000000">
        <w:rPr>
          <w:rtl w:val="0"/>
        </w:rPr>
        <w:t xml:space="preserve">Épicas para el proyecto “ DEALCOMMERCE”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EP01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Gestion de autenticación y autorización (RBAC)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EP02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Plataforma multitienda y gestión de inventario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EP03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Motor predictivo de demanda y quiebres de 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EP04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Asistente conversacional inteligente para vendedores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EP05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Experiencia de compra del cliente final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heading=h.ok48s8me5y8q" w:id="5"/>
      <w:bookmarkEnd w:id="5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técnica de estimación utilizada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Se utilizará la técnica de priorización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Valor de Negocio (Business Value)</w:t>
            </w:r>
            <w:r w:rsidDel="00000000" w:rsidR="00000000" w:rsidRPr="00000000">
              <w:rPr>
                <w:rtl w:val="0"/>
              </w:rPr>
              <w:t xml:space="preserve"> complementada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 Técnica</w:t>
            </w:r>
            <w:r w:rsidDel="00000000" w:rsidR="00000000" w:rsidRPr="00000000">
              <w:rPr>
                <w:rtl w:val="0"/>
              </w:rPr>
              <w:t xml:space="preserve">. Se clasifica como "Alta" a las épicas que habilitan la arquitectura y el funcionamiento base del sistema (obligatorias para operar), como "Media" a las que otorgan el valor tecnológico y competitivo principal de la plataforma, y como "Baja" a las funcionalidades complementarias deseables.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EP01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Gestión de Autenticación y Autorización (RBAC)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(Dependencia inicial para proteger rutas)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EP02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Plataforma Multitienda y Gestión de Inventario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(Núcleo transaccional del negocio)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EP03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Asistente Conversacional Inteligente para Vendedores (Agentes IA)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(Diferenciador clave de la plataforma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EP04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Motor Predictivo de Demanda y Quiebres de Stock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(Valor analítico principal)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EP05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2040"/>
              </w:tabs>
              <w:rPr/>
            </w:pPr>
            <w:r w:rsidDel="00000000" w:rsidR="00000000" w:rsidRPr="00000000">
              <w:rPr>
                <w:rtl w:val="0"/>
              </w:rPr>
              <w:t xml:space="preserve">Experiencia de compra del cliente final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heading=h.b7dg53ljz10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Historia 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0" distR="0">
            <wp:extent cx="6086820" cy="1211260"/>
            <wp:effectExtent b="0" l="0" r="0" t="0"/>
            <wp:docPr id="19759445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820" cy="1211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Historia 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0" distR="0">
            <wp:extent cx="6327400" cy="1095750"/>
            <wp:effectExtent b="0" l="0" r="0" t="0"/>
            <wp:docPr id="19759445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400" cy="1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Historia 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0" distT="0" distL="0" distR="0">
            <wp:extent cx="6432339" cy="1163390"/>
            <wp:effectExtent b="0" l="0" r="0" t="0"/>
            <wp:docPr id="19759445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2339" cy="116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A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97594452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0Qr90sQ57g4PosU7R5C09H1c+g==">CgMxLjAyDmguZXZ5eXlzZ21sendxMg5oLnlyZDVvNGllNXRseDINaC5sNTh1Y3B1ejJ3eDIOaC55b3dzZ242OHFzeGUyDmgubWI0b3Fpd200NzE0Mg5oLm9rNDhzOG1lNXk4cTIOaC5iN2RnNTNsanoxMDY4AHIhMWtPNExzNDBBQU94aHduMWk3TVpqc0ZPcUZSR2lBN054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