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pacing w:val="30"/>
          <w:sz w:val="24"/>
          <w:szCs w:val="24"/>
        </w:rPr>
        <w:t xml:space="preserve">DUOC UC</w:t>
      </w:r>
    </w:p>
    <w:p>
      <w:pPr>
        <w:pBdr>
          <w:bottom w:val="single" w:color="1F3864" w:sz="8" w:space="6"/>
        </w:pBdr>
        <w:spacing w:after="420"/>
        <w:jc w:val="center"/>
      </w:pPr>
      <w:r>
        <w:rPr>
          <w:rFonts w:ascii="Calibri" w:cs="Calibri" w:eastAsia="Calibri" w:hAnsi="Calibri"/>
          <w:color w:val="444444"/>
          <w:sz w:val="20"/>
          <w:szCs w:val="20"/>
        </w:rPr>
        <w:t xml:space="preserve">Escuela de Informática y Telecomunicaciones  ·  Ingeniería en Informática</w:t>
      </w:r>
    </w:p>
    <w:p>
      <w:pPr>
        <w:spacing w:after="100"/>
        <w:jc w:val="center"/>
      </w:pPr>
      <w:r>
        <w:rPr>
          <w:rFonts w:ascii="Calibri" w:cs="Calibri" w:eastAsia="Calibri" w:hAnsi="Calibri"/>
          <w:b/>
          <w:bCs/>
          <w:color w:val="1F3864"/>
          <w:sz w:val="34"/>
          <w:szCs w:val="34"/>
        </w:rPr>
        <w:t xml:space="preserve">Informe de Definición del Proyecto APT</w:t>
      </w:r>
    </w:p>
    <w:p>
      <w:pPr>
        <w:spacing w:after="80"/>
        <w:jc w:val="center"/>
      </w:pPr>
      <w:r>
        <w:rPr>
          <w:rFonts w:ascii="Calibri" w:cs="Calibri" w:eastAsia="Calibri" w:hAnsi="Calibri"/>
          <w:b/>
          <w:bCs/>
          <w:color w:val="444444"/>
          <w:sz w:val="30"/>
          <w:szCs w:val="30"/>
        </w:rPr>
        <w:t xml:space="preserve">DealCommerce</w:t>
      </w:r>
    </w:p>
    <w:p>
      <w:pPr>
        <w:spacing w:after="360"/>
        <w:jc w:val="center"/>
      </w:pPr>
      <w:r>
        <w:rPr>
          <w:rFonts w:ascii="Calibri" w:cs="Calibri" w:eastAsia="Calibri" w:hAnsi="Calibri"/>
          <w:i/>
          <w:iCs/>
          <w:color w:val="666666"/>
          <w:sz w:val="21"/>
          <w:szCs w:val="21"/>
        </w:rPr>
        <w:t xml:space="preserve">Marketplace SaaS multi-tienda con analítica predictiva para PYMES del retail</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500"/>
        <w:gridCol w:w="6860"/>
      </w:tblGrid>
      <w:tr>
        <w:tc>
          <w:tcPr>
            <w:tcW w:type="dxa" w:w="2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0"/>
                <w:szCs w:val="20"/>
              </w:rPr>
              <w:t xml:space="preserve">Asignatura</w:t>
            </w:r>
          </w:p>
        </w:tc>
        <w:tc>
          <w:tcPr>
            <w:tcW w:type="dxa" w:w="6860"/>
            <w:tcMar>
              <w:top w:type="dxa" w:w="60"/>
              <w:left w:type="dxa" w:w="90"/>
              <w:bottom w:type="dxa" w:w="60"/>
              <w:right w:type="dxa" w:w="90"/>
            </w:tcMar>
            <w:vAlign w:val="top"/>
          </w:tcPr>
          <w:p>
            <w:pPr>
              <w:spacing w:after="30" w:before="30" w:line="240"/>
              <w:jc w:val="left"/>
            </w:pPr>
            <w:r>
              <w:rPr>
                <w:rFonts w:ascii="Calibri" w:cs="Calibri" w:eastAsia="Calibri" w:hAnsi="Calibri"/>
                <w:sz w:val="20"/>
                <w:szCs w:val="20"/>
              </w:rPr>
              <w:t xml:space="preserve">PTY4614 — Capstone (APT122)</w:t>
            </w:r>
          </w:p>
        </w:tc>
      </w:tr>
      <w:tr>
        <w:tc>
          <w:tcPr>
            <w:tcW w:type="dxa" w:w="2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0"/>
                <w:szCs w:val="20"/>
              </w:rPr>
              <w:t xml:space="preserve">Evaluación</w:t>
            </w:r>
          </w:p>
        </w:tc>
        <w:tc>
          <w:tcPr>
            <w:tcW w:type="dxa" w:w="6860"/>
            <w:tcMar>
              <w:top w:type="dxa" w:w="60"/>
              <w:left w:type="dxa" w:w="90"/>
              <w:bottom w:type="dxa" w:w="60"/>
              <w:right w:type="dxa" w:w="90"/>
            </w:tcMar>
            <w:vAlign w:val="top"/>
          </w:tcPr>
          <w:p>
            <w:pPr>
              <w:spacing w:after="30" w:before="30" w:line="240"/>
              <w:jc w:val="left"/>
            </w:pPr>
            <w:r>
              <w:rPr>
                <w:rFonts w:ascii="Calibri" w:cs="Calibri" w:eastAsia="Calibri" w:hAnsi="Calibri"/>
                <w:sz w:val="20"/>
                <w:szCs w:val="20"/>
              </w:rPr>
              <w:t xml:space="preserve">Fase 1 — Evaluación formativa (semana 2)</w:t>
            </w:r>
          </w:p>
        </w:tc>
      </w:tr>
      <w:tr>
        <w:tc>
          <w:tcPr>
            <w:tcW w:type="dxa" w:w="2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0"/>
                <w:szCs w:val="20"/>
              </w:rPr>
              <w:t xml:space="preserve">Estudiantes</w:t>
            </w:r>
          </w:p>
        </w:tc>
        <w:tc>
          <w:tcPr>
            <w:tcW w:type="dxa" w:w="6860"/>
            <w:tcMar>
              <w:top w:type="dxa" w:w="60"/>
              <w:left w:type="dxa" w:w="90"/>
              <w:bottom w:type="dxa" w:w="60"/>
              <w:right w:type="dxa" w:w="90"/>
            </w:tcMar>
            <w:vAlign w:val="top"/>
          </w:tcPr>
          <w:p>
            <w:pPr>
              <w:spacing w:after="30" w:before="30" w:line="240"/>
              <w:jc w:val="left"/>
            </w:pPr>
            <w:r>
              <w:rPr>
                <w:rFonts w:ascii="Calibri" w:cs="Calibri" w:eastAsia="Calibri" w:hAnsi="Calibri"/>
                <w:sz w:val="20"/>
                <w:szCs w:val="20"/>
              </w:rPr>
              <w:t xml:space="preserve">Pedro Nicolás Santibáñez Black</w:t>
            </w:r>
          </w:p>
          <w:p>
            <w:pPr>
              <w:spacing w:after="30" w:before="30" w:line="240"/>
              <w:jc w:val="left"/>
            </w:pPr>
            <w:r>
              <w:rPr>
                <w:rFonts w:ascii="Calibri" w:cs="Calibri" w:eastAsia="Calibri" w:hAnsi="Calibri"/>
                <w:sz w:val="20"/>
                <w:szCs w:val="20"/>
              </w:rPr>
              <w:t xml:space="preserve">Daniel Antonio Azócar Pizarro</w:t>
            </w:r>
          </w:p>
        </w:tc>
      </w:tr>
      <w:tr>
        <w:tc>
          <w:tcPr>
            <w:tcW w:type="dxa" w:w="2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0"/>
                <w:szCs w:val="20"/>
              </w:rPr>
              <w:t xml:space="preserve">Sede</w:t>
            </w:r>
          </w:p>
        </w:tc>
        <w:tc>
          <w:tcPr>
            <w:tcW w:type="dxa" w:w="6860"/>
            <w:tcMar>
              <w:top w:type="dxa" w:w="60"/>
              <w:left w:type="dxa" w:w="90"/>
              <w:bottom w:type="dxa" w:w="60"/>
              <w:right w:type="dxa" w:w="90"/>
            </w:tcMar>
            <w:vAlign w:val="top"/>
          </w:tcPr>
          <w:p>
            <w:pPr>
              <w:spacing w:after="30" w:before="30" w:line="240"/>
              <w:jc w:val="left"/>
            </w:pPr>
            <w:r>
              <w:rPr>
                <w:rFonts w:ascii="Calibri" w:cs="Calibri" w:eastAsia="Calibri" w:hAnsi="Calibri"/>
                <w:sz w:val="20"/>
                <w:szCs w:val="20"/>
              </w:rPr>
              <w:t xml:space="preserve">Melipilla</w:t>
            </w:r>
          </w:p>
        </w:tc>
      </w:tr>
      <w:tr>
        <w:tc>
          <w:tcPr>
            <w:tcW w:type="dxa" w:w="2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0"/>
                <w:szCs w:val="20"/>
              </w:rPr>
              <w:t xml:space="preserve">Cliente piloto</w:t>
            </w:r>
          </w:p>
        </w:tc>
        <w:tc>
          <w:tcPr>
            <w:tcW w:type="dxa" w:w="6860"/>
            <w:tcMar>
              <w:top w:type="dxa" w:w="60"/>
              <w:left w:type="dxa" w:w="90"/>
              <w:bottom w:type="dxa" w:w="60"/>
              <w:right w:type="dxa" w:w="90"/>
            </w:tcMar>
            <w:vAlign w:val="top"/>
          </w:tcPr>
          <w:p>
            <w:pPr>
              <w:spacing w:after="30" w:before="30" w:line="240"/>
              <w:jc w:val="left"/>
            </w:pPr>
            <w:r>
              <w:rPr>
                <w:rFonts w:ascii="Calibri" w:cs="Calibri" w:eastAsia="Calibri" w:hAnsi="Calibri"/>
                <w:sz w:val="20"/>
                <w:szCs w:val="20"/>
              </w:rPr>
              <w:t xml:space="preserve">Joyas_ye — emprendimiento de joyería (venta al detalle y al por mayor)</w:t>
            </w:r>
          </w:p>
        </w:tc>
      </w:tr>
      <w:tr>
        <w:tc>
          <w:tcPr>
            <w:tcW w:type="dxa" w:w="25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0"/>
                <w:szCs w:val="20"/>
              </w:rPr>
              <w:t xml:space="preserve">Fecha</w:t>
            </w:r>
          </w:p>
        </w:tc>
        <w:tc>
          <w:tcPr>
            <w:tcW w:type="dxa" w:w="6860"/>
            <w:tcMar>
              <w:top w:type="dxa" w:w="60"/>
              <w:left w:type="dxa" w:w="90"/>
              <w:bottom w:type="dxa" w:w="60"/>
              <w:right w:type="dxa" w:w="90"/>
            </w:tcMar>
            <w:vAlign w:val="top"/>
          </w:tcPr>
          <w:p>
            <w:pPr>
              <w:spacing w:after="30" w:before="30" w:line="240"/>
              <w:jc w:val="left"/>
            </w:pPr>
            <w:r>
              <w:rPr>
                <w:rFonts w:ascii="Calibri" w:cs="Calibri" w:eastAsia="Calibri" w:hAnsi="Calibri"/>
                <w:sz w:val="20"/>
                <w:szCs w:val="20"/>
              </w:rPr>
              <w:t xml:space="preserve">28 de agosto de 2026</w:t>
            </w:r>
          </w:p>
        </w:tc>
      </w:tr>
    </w:tbl>
    <w:p>
      <w:r>
        <w:br w:type="page"/>
      </w:r>
    </w:p>
    <w:p>
      <w:pPr>
        <w:pStyle w:val="Heading1"/>
        <w:spacing w:after="160" w:before="320"/>
      </w:pPr>
      <w:r>
        <w:rPr>
          <w:rFonts w:ascii="Calibri" w:cs="Calibri" w:eastAsia="Calibri" w:hAnsi="Calibri"/>
          <w:b/>
          <w:bCs/>
          <w:color w:val="1F3864"/>
          <w:sz w:val="28"/>
          <w:szCs w:val="28"/>
        </w:rPr>
        <w:t xml:space="preserve">Índice</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7860"/>
        <w:gridCol w:w="1500"/>
      </w:tblGrid>
      <w:tr>
        <w:tc>
          <w:tcPr>
            <w:tcW w:type="dxa" w:w="7860"/>
            <w:tcMar>
              <w:top w:type="dxa" w:w="60"/>
              <w:left w:type="dxa" w:w="90"/>
              <w:bottom w:type="dxa" w:w="60"/>
              <w:right w:type="dxa" w:w="90"/>
            </w:tcMar>
            <w:vAlign w:val="top"/>
          </w:tcPr>
          <w:p>
            <w:pPr>
              <w:spacing w:after="30" w:before="30" w:line="240"/>
              <w:jc w:val="left"/>
            </w:pPr>
            <w:r>
              <w:rPr>
                <w:rFonts w:ascii="Calibri" w:cs="Calibri" w:eastAsia="Calibri" w:hAnsi="Calibri"/>
                <w:b/>
                <w:bCs/>
                <w:sz w:val="21"/>
                <w:szCs w:val="21"/>
              </w:rPr>
              <w:t xml:space="preserve">Abstract</w:t>
            </w:r>
          </w:p>
        </w:tc>
        <w:tc>
          <w:tcPr>
            <w:tcW w:type="dxa" w:w="1500"/>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3</w:t>
            </w:r>
          </w:p>
        </w:tc>
      </w:tr>
      <w:tr>
        <w:tc>
          <w:tcPr>
            <w:tcW w:type="dxa" w:w="78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1"/>
                <w:szCs w:val="21"/>
              </w:rPr>
              <w:t xml:space="preserve">1. Descripción del Proyecto APT y su relevancia</w:t>
            </w:r>
          </w:p>
        </w:tc>
        <w:tc>
          <w:tcPr>
            <w:tcW w:type="dxa" w:w="1500"/>
            <w:shd w:fill="EDF1F8" w:color="auto" w:val="clear"/>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3</w:t>
            </w:r>
          </w:p>
        </w:tc>
      </w:tr>
      <w:tr>
        <w:tc>
          <w:tcPr>
            <w:tcW w:type="dxa" w:w="7860"/>
            <w:tcMar>
              <w:top w:type="dxa" w:w="60"/>
              <w:left w:type="dxa" w:w="90"/>
              <w:bottom w:type="dxa" w:w="60"/>
              <w:right w:type="dxa" w:w="90"/>
            </w:tcMar>
            <w:vAlign w:val="top"/>
          </w:tcPr>
          <w:p>
            <w:pPr>
              <w:spacing w:after="30" w:before="30" w:line="240"/>
              <w:jc w:val="left"/>
            </w:pPr>
            <w:r>
              <w:rPr>
                <w:rFonts w:ascii="Calibri" w:cs="Calibri" w:eastAsia="Calibri" w:hAnsi="Calibri"/>
                <w:b/>
                <w:bCs/>
                <w:sz w:val="21"/>
                <w:szCs w:val="21"/>
              </w:rPr>
              <w:t xml:space="preserve">2. Relación con las competencias del perfil de egreso</w:t>
            </w:r>
          </w:p>
        </w:tc>
        <w:tc>
          <w:tcPr>
            <w:tcW w:type="dxa" w:w="1500"/>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5</w:t>
            </w:r>
          </w:p>
        </w:tc>
      </w:tr>
      <w:tr>
        <w:tc>
          <w:tcPr>
            <w:tcW w:type="dxa" w:w="78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1"/>
                <w:szCs w:val="21"/>
              </w:rPr>
              <w:t xml:space="preserve">3. Relación con los intereses profesionales</w:t>
            </w:r>
          </w:p>
        </w:tc>
        <w:tc>
          <w:tcPr>
            <w:tcW w:type="dxa" w:w="1500"/>
            <w:shd w:fill="EDF1F8" w:color="auto" w:val="clear"/>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6</w:t>
            </w:r>
          </w:p>
        </w:tc>
      </w:tr>
      <w:tr>
        <w:tc>
          <w:tcPr>
            <w:tcW w:type="dxa" w:w="7860"/>
            <w:tcMar>
              <w:top w:type="dxa" w:w="60"/>
              <w:left w:type="dxa" w:w="90"/>
              <w:bottom w:type="dxa" w:w="60"/>
              <w:right w:type="dxa" w:w="90"/>
            </w:tcMar>
            <w:vAlign w:val="top"/>
          </w:tcPr>
          <w:p>
            <w:pPr>
              <w:spacing w:after="30" w:before="30" w:line="240"/>
              <w:jc w:val="left"/>
            </w:pPr>
            <w:r>
              <w:rPr>
                <w:rFonts w:ascii="Calibri" w:cs="Calibri" w:eastAsia="Calibri" w:hAnsi="Calibri"/>
                <w:b/>
                <w:bCs/>
                <w:sz w:val="21"/>
                <w:szCs w:val="21"/>
              </w:rPr>
              <w:t xml:space="preserve">4. Factibilidad del proyecto en el marco de la asignatura</w:t>
            </w:r>
          </w:p>
        </w:tc>
        <w:tc>
          <w:tcPr>
            <w:tcW w:type="dxa" w:w="1500"/>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7</w:t>
            </w:r>
          </w:p>
        </w:tc>
      </w:tr>
      <w:tr>
        <w:tc>
          <w:tcPr>
            <w:tcW w:type="dxa" w:w="78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1"/>
                <w:szCs w:val="21"/>
              </w:rPr>
              <w:t xml:space="preserve">5. Cumplimiento de los indicadores de calidad</w:t>
            </w:r>
          </w:p>
        </w:tc>
        <w:tc>
          <w:tcPr>
            <w:tcW w:type="dxa" w:w="1500"/>
            <w:shd w:fill="EDF1F8" w:color="auto" w:val="clear"/>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9</w:t>
            </w:r>
          </w:p>
        </w:tc>
      </w:tr>
      <w:tr>
        <w:tc>
          <w:tcPr>
            <w:tcW w:type="dxa" w:w="7860"/>
            <w:tcMar>
              <w:top w:type="dxa" w:w="60"/>
              <w:left w:type="dxa" w:w="90"/>
              <w:bottom w:type="dxa" w:w="60"/>
              <w:right w:type="dxa" w:w="90"/>
            </w:tcMar>
            <w:vAlign w:val="top"/>
          </w:tcPr>
          <w:p>
            <w:pPr>
              <w:spacing w:after="30" w:before="30" w:line="240"/>
              <w:jc w:val="left"/>
            </w:pPr>
            <w:r>
              <w:rPr>
                <w:rFonts w:ascii="Calibri" w:cs="Calibri" w:eastAsia="Calibri" w:hAnsi="Calibri"/>
                <w:b/>
                <w:bCs/>
                <w:sz w:val="21"/>
                <w:szCs w:val="21"/>
              </w:rPr>
              <w:t xml:space="preserve">6. Conclusiones</w:t>
            </w:r>
          </w:p>
        </w:tc>
        <w:tc>
          <w:tcPr>
            <w:tcW w:type="dxa" w:w="1500"/>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10</w:t>
            </w:r>
          </w:p>
        </w:tc>
      </w:tr>
      <w:tr>
        <w:tc>
          <w:tcPr>
            <w:tcW w:type="dxa" w:w="78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21"/>
                <w:szCs w:val="21"/>
              </w:rPr>
              <w:t xml:space="preserve">7. Reflexiones</w:t>
            </w:r>
          </w:p>
        </w:tc>
        <w:tc>
          <w:tcPr>
            <w:tcW w:type="dxa" w:w="1500"/>
            <w:shd w:fill="EDF1F8" w:color="auto" w:val="clear"/>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11</w:t>
            </w:r>
          </w:p>
        </w:tc>
      </w:tr>
      <w:tr>
        <w:tc>
          <w:tcPr>
            <w:tcW w:type="dxa" w:w="7860"/>
            <w:tcMar>
              <w:top w:type="dxa" w:w="60"/>
              <w:left w:type="dxa" w:w="90"/>
              <w:bottom w:type="dxa" w:w="60"/>
              <w:right w:type="dxa" w:w="90"/>
            </w:tcMar>
            <w:vAlign w:val="top"/>
          </w:tcPr>
          <w:p>
            <w:pPr>
              <w:spacing w:after="30" w:before="30" w:line="240"/>
              <w:jc w:val="left"/>
            </w:pPr>
            <w:r>
              <w:rPr>
                <w:rFonts w:ascii="Calibri" w:cs="Calibri" w:eastAsia="Calibri" w:hAnsi="Calibri"/>
                <w:b/>
                <w:bCs/>
                <w:sz w:val="21"/>
                <w:szCs w:val="21"/>
              </w:rPr>
              <w:t xml:space="preserve">8. Referencias</w:t>
            </w:r>
          </w:p>
        </w:tc>
        <w:tc>
          <w:tcPr>
            <w:tcW w:type="dxa" w:w="1500"/>
            <w:tcMar>
              <w:top w:type="dxa" w:w="60"/>
              <w:left w:type="dxa" w:w="90"/>
              <w:bottom w:type="dxa" w:w="60"/>
              <w:right w:type="dxa" w:w="90"/>
            </w:tcMar>
            <w:vAlign w:val="top"/>
          </w:tcPr>
          <w:p>
            <w:pPr>
              <w:spacing w:after="30" w:before="30" w:line="240"/>
              <w:jc w:val="right"/>
            </w:pPr>
            <w:r>
              <w:rPr>
                <w:rFonts w:ascii="Calibri" w:cs="Calibri" w:eastAsia="Calibri" w:hAnsi="Calibri"/>
                <w:sz w:val="21"/>
                <w:szCs w:val="21"/>
              </w:rPr>
              <w:t xml:space="preserve">11</w:t>
            </w:r>
          </w:p>
        </w:tc>
      </w:tr>
    </w:tbl>
    <w:p>
      <w:r>
        <w:br w:type="page"/>
      </w:r>
    </w:p>
    <w:p>
      <w:pPr>
        <w:pStyle w:val="Heading1"/>
        <w:spacing w:after="160" w:before="320"/>
      </w:pPr>
      <w:r>
        <w:rPr>
          <w:rFonts w:ascii="Calibri" w:cs="Calibri" w:eastAsia="Calibri" w:hAnsi="Calibri"/>
          <w:b/>
          <w:bCs/>
          <w:color w:val="1F3864"/>
          <w:sz w:val="28"/>
          <w:szCs w:val="28"/>
        </w:rPr>
        <w:t xml:space="preserve">Abstract</w:t>
      </w:r>
    </w:p>
    <w:p>
      <w:pPr>
        <w:spacing w:after="140" w:line="360"/>
        <w:jc w:val="both"/>
      </w:pPr>
      <w:r>
        <w:rPr>
          <w:rFonts w:ascii="Calibri" w:cs="Calibri" w:eastAsia="Calibri" w:hAnsi="Calibri"/>
          <w:sz w:val="22"/>
          <w:szCs w:val="22"/>
        </w:rPr>
        <w:t xml:space="preserve">Este informe presenta la definición del Proyecto APT DealCommerce, una plataforma de comercio electrónico bajo modelo de software como servicio, orientada a pequeñas y medianas empresas del comercio minorista que venden simultáneamente al detalle y al por mayor. El problema que aborda es la ausencia de herramientas de gestión adecuadas a ese doble canal: los comercios de este tamaño operan sobre mensajería instantánea y registros en papel, aplican sus tarifas mayoristas manualmente y carecen de información consolidada que respalde sus decisiones de reposición de inventario.</w:t>
      </w:r>
    </w:p>
    <w:p>
      <w:pPr>
        <w:spacing w:after="140" w:line="360"/>
        <w:jc w:val="both"/>
      </w:pPr>
      <w:r>
        <w:rPr>
          <w:rFonts w:ascii="Calibri" w:cs="Calibri" w:eastAsia="Calibri" w:hAnsi="Calibri"/>
          <w:sz w:val="22"/>
          <w:szCs w:val="22"/>
        </w:rPr>
        <w:t xml:space="preserve">La propuesta consiste en una aplicación de arquitectura multi-tienda que aloja a varios comercios sobre una misma infraestructura, manteniendo aislada la información de cada uno. Además de las funciones propias de un canal de venta —catálogo con variantes, carrito y gestión de pedidos— incorpora un motor de precios escalonados por volumen de compra y una cadena de tres componentes de inteligencia articulados sobre el mismo modelo de datos: un modelo de regresión que pronostica la demanda mensual por producto, un modelo de clasificación que segmenta a los compradores según su comportamiento de compra, y un motor de reglas que, a partir de ambas salidas, sugiere acciones comerciales al vendedor. Se suma un asistente conversacional que responde consultas sobre los indicadores de la tienda en lenguaje natural.</w:t>
      </w:r>
    </w:p>
    <w:p>
      <w:pPr>
        <w:spacing w:after="140" w:line="360"/>
        <w:jc w:val="both"/>
      </w:pPr>
      <w:r>
        <w:rPr>
          <w:rFonts w:ascii="Calibri" w:cs="Calibri" w:eastAsia="Calibri" w:hAnsi="Calibri"/>
          <w:sz w:val="22"/>
          <w:szCs w:val="22"/>
        </w:rPr>
        <w:t xml:space="preserve">El desarrollo se organiza mediante Scrum en sprints de dos semanas, articulado con CRISP-DM para el ciclo de vida de los componentes analíticos, y se implementa sobre React con Next.js, Django REST Framework y PostgreSQL, orquestado con Docker. El emprendimiento de joyería Joyas_ye participa como cliente piloto real y valida cada incremento funcional. El informe fundamenta la relevancia de la propuesta para el campo laboral de la disciplina, su correspondencia con las cuatro competencias del perfil de egreso, su vinculación con los intereses profesionales de cada integrante y su factibilidad dentro del período académico.</w:t>
      </w:r>
    </w:p>
    <w:p>
      <w:pPr>
        <w:pStyle w:val="Heading1"/>
        <w:spacing w:after="160" w:before="320"/>
      </w:pPr>
      <w:r>
        <w:rPr>
          <w:rFonts w:ascii="Calibri" w:cs="Calibri" w:eastAsia="Calibri" w:hAnsi="Calibri"/>
          <w:b/>
          <w:bCs/>
          <w:color w:val="1F3864"/>
          <w:sz w:val="28"/>
          <w:szCs w:val="28"/>
        </w:rPr>
        <w:t xml:space="preserve">1. Descripción del Proyecto APT y su relevancia</w:t>
      </w:r>
    </w:p>
    <w:p>
      <w:pPr>
        <w:spacing w:after="140" w:line="360"/>
        <w:jc w:val="both"/>
      </w:pPr>
      <w:r>
        <w:rPr>
          <w:rFonts w:ascii="Calibri" w:cs="Calibri" w:eastAsia="Calibri" w:hAnsi="Calibri"/>
          <w:sz w:val="22"/>
          <w:szCs w:val="22"/>
        </w:rPr>
        <w:t xml:space="preserve">El proyecto consiste en el diseño, desarrollo e implantación de DealCommerce, una plataforma marketplace bajo modelo SaaS de arquitectura multi-tienda. La diferencia respecto de una tienda en línea convencional es estructural: la aplicación no sirve a un comercio, sino que aloja a varios de forma simultánea sobre una misma infraestructura. Cada vendedor suscrito administra su propio catálogo, sus precios y sus pedidos, y accede únicamente a su información, mientras el comprador recorre un catálogo unificado.</w:t>
      </w:r>
    </w:p>
    <w:p>
      <w:pPr>
        <w:spacing w:after="140" w:line="360"/>
        <w:jc w:val="both"/>
      </w:pPr>
      <w:r>
        <w:rPr>
          <w:rFonts w:ascii="Calibri" w:cs="Calibri" w:eastAsia="Calibri" w:hAnsi="Calibri"/>
          <w:sz w:val="22"/>
          <w:szCs w:val="22"/>
        </w:rPr>
        <w:t xml:space="preserve">El elemento que distingue funcionalmente a la plataforma es el tratamiento del doble canal de venta. Un comercio que vende tanto al detalle como al por mayor enfrenta hoy una disyuntiva incómoda: mantener dos catálogos paralelos, o calcular manualmente el precio mayorista en cada pedido. DealCommerce resuelve esto con un motor de precios escalonados: un mismo producto tiene definidos sus tramos de precio por volumen, y el sistema aplica el que corresponde según la cantidad que el comprador agrega al carrito. Ni el vendedor duplica trabajo ni queda expuesto al error de cálculo.</w:t>
      </w:r>
    </w:p>
    <w:p>
      <w:pPr>
        <w:spacing w:after="140" w:line="360"/>
        <w:jc w:val="both"/>
      </w:pPr>
      <w:r>
        <w:rPr>
          <w:rFonts w:ascii="Calibri" w:cs="Calibri" w:eastAsia="Calibri" w:hAnsi="Calibri"/>
          <w:sz w:val="22"/>
          <w:szCs w:val="22"/>
        </w:rPr>
        <w:t xml:space="preserve">Sobre esa base transaccional opera la capa analítica, que constituye el componente de innovación de la propuesta. El sistema no se limita a registrar operaciones: las convierte en información accionable. Un panel presenta al vendedor sus ventas mensuales, ticket promedio, rotación por producto y composición entre venta al detalle y mayorista. Un modelo de pronóstico proyecta la demanda del período siguiente por producto. Un segundo modelo caracteriza a los compradores según su recencia, frecuencia y monto de compra, y estima la probabilidad de que dejen de comprar. Un motor de reglas cruza ambas salidas para sugerir descuentos sobre productos de baja rotación y campañas dirigidas a clientes en riesgo de abandono, presentando las sugerencias al vendedor para su aprobación. Finalmente, un asistente conversacional permite consultar todos estos indicadores formulando preguntas en lenguaje natural, sin necesidad de interpretar tableros.</w:t>
      </w:r>
    </w:p>
    <w:p>
      <w:pPr>
        <w:pStyle w:val="Heading2"/>
        <w:spacing w:after="110" w:before="220"/>
      </w:pPr>
      <w:r>
        <w:rPr>
          <w:rFonts w:ascii="Calibri" w:cs="Calibri" w:eastAsia="Calibri" w:hAnsi="Calibri"/>
          <w:b/>
          <w:bCs/>
          <w:color w:val="1F3864"/>
          <w:sz w:val="23"/>
          <w:szCs w:val="23"/>
        </w:rPr>
        <w:t xml:space="preserve">1.1 Relevancia para el campo laboral de la Ingeniería en Informática</w:t>
      </w:r>
    </w:p>
    <w:p>
      <w:pPr>
        <w:spacing w:after="140" w:line="360"/>
        <w:jc w:val="both"/>
      </w:pPr>
      <w:r>
        <w:rPr>
          <w:rFonts w:ascii="Calibri" w:cs="Calibri" w:eastAsia="Calibri" w:hAnsi="Calibri"/>
          <w:sz w:val="22"/>
          <w:szCs w:val="22"/>
        </w:rPr>
        <w:t xml:space="preserve">El modelo de software como servicio con arquitectura multi-tenant es hoy el patrón dominante en la industria del software. Construirlo obliga a resolver problemas que aparecen en prácticamente cualquier producto de software comercial: aislamiento de la información entre organizaciones distintas, control de acceso por rol, escalabilidad del modelo de datos y despliegue continuo. Son exactamente las capacidades que el mercado laboral nacional demanda a los perfiles de desarrollo y arquitectura de software, y que difícilmente se ejercitan en un proyecto de usuario único.</w:t>
      </w:r>
    </w:p>
    <w:p>
      <w:pPr>
        <w:spacing w:after="140" w:line="360"/>
        <w:jc w:val="both"/>
      </w:pPr>
      <w:r>
        <w:rPr>
          <w:rFonts w:ascii="Calibri" w:cs="Calibri" w:eastAsia="Calibri" w:hAnsi="Calibri"/>
          <w:sz w:val="22"/>
          <w:szCs w:val="22"/>
        </w:rPr>
        <w:t xml:space="preserve">En paralelo, la industria ha desplazado su exigencia desde los sistemas que registran información hacia aquellos que la transforman en decisiones. Un sistema de gestión que solo almacena operaciones resuelve hoy la mitad del problema del cliente. Incorporar modelos predictivos sobre datos transaccionales propios responde a esa exigencia, y hacerlo correctamente —evaluando cada modelo con las métricas que corresponden a su tipo de problema y contrastándolo con una línea base— es una competencia profesional distinta de saber invocar una biblioteca de aprendizaje automático.</w:t>
      </w:r>
    </w:p>
    <w:p>
      <w:pPr>
        <w:pStyle w:val="Heading2"/>
        <w:spacing w:after="110" w:before="220"/>
      </w:pPr>
      <w:r>
        <w:rPr>
          <w:rFonts w:ascii="Calibri" w:cs="Calibri" w:eastAsia="Calibri" w:hAnsi="Calibri"/>
          <w:b/>
          <w:bCs/>
          <w:color w:val="1F3864"/>
          <w:sz w:val="23"/>
          <w:szCs w:val="23"/>
        </w:rPr>
        <w:t xml:space="preserve">1.2 Impacto en el cliente</w:t>
      </w:r>
    </w:p>
    <w:p>
      <w:pPr>
        <w:spacing w:after="140" w:line="360"/>
        <w:jc w:val="both"/>
      </w:pPr>
      <w:r>
        <w:rPr>
          <w:rFonts w:ascii="Calibri" w:cs="Calibri" w:eastAsia="Calibri" w:hAnsi="Calibri"/>
          <w:sz w:val="22"/>
          <w:szCs w:val="22"/>
        </w:rPr>
        <w:t xml:space="preserve">Para Joyas_ye, el impacto es directo y verificable. Hoy la venta se cierra por mensajería instantánea, los pedidos se anotan a mano y no existe registro consolidado de qué se vendió, a quién ni en qué volumen. Con la plataforma en operación, el comercio dispone de un canal de venta propio con trazabilidad completa de cada pedido, aplicación automática de las tarifas mayoristas, y por primera vez información histórica que permite responder qué productos sostienen efectivamente su facturación y cuáles inmovilizan capital.</w:t>
      </w:r>
    </w:p>
    <w:p>
      <w:pPr>
        <w:spacing w:after="140" w:line="360"/>
        <w:jc w:val="both"/>
      </w:pPr>
      <w:r>
        <w:rPr>
          <w:rFonts w:ascii="Calibri" w:cs="Calibri" w:eastAsia="Calibri" w:hAnsi="Calibri"/>
          <w:sz w:val="22"/>
          <w:szCs w:val="22"/>
        </w:rPr>
        <w:t xml:space="preserve">El beneficio no se agota en el cliente piloto. La problemática descrita es transversal al comercio minorista de pequeña escala en Chile, y la arquitectura multi-tienda fue elegida precisamente para que la solución sea extensible a otros comercios sin rehacer el sistema. Joyas_ye es el primer caso, no el único posible.</w:t>
      </w:r>
    </w:p>
    <w:p>
      <w:pPr>
        <w:pStyle w:val="Heading1"/>
        <w:spacing w:after="160" w:before="320"/>
      </w:pPr>
      <w:r>
        <w:rPr>
          <w:rFonts w:ascii="Calibri" w:cs="Calibri" w:eastAsia="Calibri" w:hAnsi="Calibri"/>
          <w:b/>
          <w:bCs/>
          <w:color w:val="1F3864"/>
          <w:sz w:val="28"/>
          <w:szCs w:val="28"/>
        </w:rPr>
        <w:t xml:space="preserve">2. Relación con las competencias del perfil de egreso</w:t>
      </w:r>
    </w:p>
    <w:p>
      <w:pPr>
        <w:spacing w:after="140" w:line="360"/>
        <w:jc w:val="both"/>
      </w:pPr>
      <w:r>
        <w:rPr>
          <w:rFonts w:ascii="Calibri" w:cs="Calibri" w:eastAsia="Calibri" w:hAnsi="Calibri"/>
          <w:sz w:val="22"/>
          <w:szCs w:val="22"/>
        </w:rPr>
        <w:t xml:space="preserve">El alcance del proyecto fue definido de modo que su ejecución exija movilizar las cuatro competencias del perfil de egreso, y no únicamente la de construcción de software. A continuación se detalla de qué manera cada una resulta necesaria para resolver la problemática planteada.</w:t>
      </w:r>
    </w:p>
    <w:p>
      <w:pPr>
        <w:pStyle w:val="Heading2"/>
        <w:spacing w:after="110" w:before="220"/>
      </w:pPr>
      <w:r>
        <w:rPr>
          <w:rFonts w:ascii="Calibri" w:cs="Calibri" w:eastAsia="Calibri" w:hAnsi="Calibri"/>
          <w:b/>
          <w:bCs/>
          <w:color w:val="1F3864"/>
          <w:sz w:val="23"/>
          <w:szCs w:val="23"/>
        </w:rPr>
        <w:t xml:space="preserve">2.1 Gestionar proyectos informáticos</w:t>
      </w:r>
    </w:p>
    <w:p>
      <w:pPr>
        <w:spacing w:after="140" w:line="360"/>
        <w:jc w:val="both"/>
      </w:pPr>
      <w:r>
        <w:rPr>
          <w:rFonts w:ascii="Calibri" w:cs="Calibri" w:eastAsia="Calibri" w:hAnsi="Calibri"/>
          <w:sz w:val="22"/>
          <w:szCs w:val="22"/>
        </w:rPr>
        <w:t xml:space="preserve">El equipo planifica y controla el proyecto en su totalidad, sin una instancia externa que fije el alcance. La competencia se ejerce con particular intensidad en las decisiones de recorte: el catálogo de funcionalidades deseables excede la capacidad real de dos personas en dieciocho semanas, de modo que fue necesario ofrecer alternativas fundamentadas al cliente sobre qué construir primero y qué postergar, y documentar el criterio de esa priorización. Dejar el checkout en modo simulado y declarar la búsqueda visual por imagen como trabajo futuro no son limitaciones sufridas, sino decisiones de gestión adoptadas para asegurar la entrega. El seguimiento se realiza mediante backlog priorizado, tablero de tareas y gráficos de avance por sprint.</w:t>
      </w:r>
    </w:p>
    <w:p>
      <w:pPr>
        <w:pStyle w:val="Heading2"/>
        <w:spacing w:after="110" w:before="220"/>
      </w:pPr>
      <w:r>
        <w:rPr>
          <w:rFonts w:ascii="Calibri" w:cs="Calibri" w:eastAsia="Calibri" w:hAnsi="Calibri"/>
          <w:b/>
          <w:bCs/>
          <w:color w:val="1F3864"/>
          <w:sz w:val="23"/>
          <w:szCs w:val="23"/>
        </w:rPr>
        <w:t xml:space="preserve">2.2 Construir modelos de datos</w:t>
      </w:r>
    </w:p>
    <w:p>
      <w:pPr>
        <w:spacing w:after="140" w:line="360"/>
        <w:jc w:val="both"/>
      </w:pPr>
      <w:r>
        <w:rPr>
          <w:rFonts w:ascii="Calibri" w:cs="Calibri" w:eastAsia="Calibri" w:hAnsi="Calibri"/>
          <w:sz w:val="22"/>
          <w:szCs w:val="22"/>
        </w:rPr>
        <w:t xml:space="preserve">Es la competencia más exigida por la naturaleza del sistema, y aquella cuyo diseño condiciona todo lo demás. El modelo relacional debe resolver de forma simultánea tres requisitos que no son triviales por separado: el aislamiento de la información comercial entre vendedores distintos que comparten la misma base de datos; la representación de productos con variantes de material, talla y terminación, cada una con su propio stock, junto a listas de precios escalonadas por volumen; y una estructura de datos históricos capaz de alimentar tanto las consultas de agregación del panel como el entrenamiento de los modelos predictivos. Un diseño deficiente en este punto no solo compromete la escalabilidad de la plataforma, sino que inutiliza la capa analítica completa. El diseño se documenta mediante modelo entidad-relación y diccionario de datos, y su implementación se materializa en migraciones versionadas.</w:t>
      </w:r>
    </w:p>
    <w:p>
      <w:pPr>
        <w:pStyle w:val="Heading2"/>
        <w:spacing w:after="110" w:before="220"/>
      </w:pPr>
      <w:r>
        <w:rPr>
          <w:rFonts w:ascii="Calibri" w:cs="Calibri" w:eastAsia="Calibri" w:hAnsi="Calibri"/>
          <w:b/>
          <w:bCs/>
          <w:color w:val="1F3864"/>
          <w:sz w:val="23"/>
          <w:szCs w:val="23"/>
        </w:rPr>
        <w:t xml:space="preserve">2.3 Desarrollar una solución de software</w:t>
      </w:r>
    </w:p>
    <w:p>
      <w:pPr>
        <w:spacing w:after="140" w:line="360"/>
        <w:jc w:val="both"/>
      </w:pPr>
      <w:r>
        <w:rPr>
          <w:rFonts w:ascii="Calibri" w:cs="Calibri" w:eastAsia="Calibri" w:hAnsi="Calibri"/>
          <w:sz w:val="22"/>
          <w:szCs w:val="22"/>
        </w:rPr>
        <w:t xml:space="preserve">La problemática solo queda resuelta con un sistema efectivamente construido, integrado y puesto en operación. El proyecto exige programar una interfaz de usuario y una capa de servicios, e integrar cuatro componentes de naturaleza heterogénea: la aplicación web, la interfaz de programación que expone los datos, los servicios predictivos y el asistente conversacional. La sistematización del proceso se sostiene en control de versiones con flujo de ramas por funcionalidad, revisión cruzada de todo el código entre ambos integrantes antes de la integración, estándares de estilo por lenguaje, y un criterio común de trabajo terminado. La implantación se concreta en un despliegue contenerizado, accesible y operativo para el uso real del cliente.</w:t>
      </w:r>
    </w:p>
    <w:p>
      <w:pPr>
        <w:pStyle w:val="Heading2"/>
        <w:spacing w:after="110" w:before="220"/>
      </w:pPr>
      <w:r>
        <w:rPr>
          <w:rFonts w:ascii="Calibri" w:cs="Calibri" w:eastAsia="Calibri" w:hAnsi="Calibri"/>
          <w:b/>
          <w:bCs/>
          <w:color w:val="1F3864"/>
          <w:sz w:val="23"/>
          <w:szCs w:val="23"/>
        </w:rPr>
        <w:t xml:space="preserve">2.4 Realizar pruebas de certificación</w:t>
      </w:r>
    </w:p>
    <w:p>
      <w:pPr>
        <w:spacing w:after="140" w:line="360"/>
        <w:jc w:val="both"/>
      </w:pPr>
      <w:r>
        <w:rPr>
          <w:rFonts w:ascii="Calibri" w:cs="Calibri" w:eastAsia="Calibri" w:hAnsi="Calibri"/>
          <w:sz w:val="22"/>
          <w:szCs w:val="22"/>
        </w:rPr>
        <w:t xml:space="preserve">Al tratarse de una plataforma que administra información comercial de terceros y aplica precios de forma automática, las pruebas no constituyen un requisito formal sino la condición para poder entregar el sistema a un comercio en operación. Un error no detectado en el motor de precios afecta directamente la facturación del cliente; una omisión en el control de acceso expone datos comerciales ajenos. El plan de pruebas contempla casos unitarios sobre la lógica de precios y el aislamiento de datos, casos de integración sobre el flujo completo de pedido, verificaciones específicas de control de acceso entre tiendas, y pruebas de aceptación ejecutadas junto al cliente al cierre de cada sprint. Los hallazgos de cada ciclo alimentan el backlog del sprint siguiente, cerrando el ciclo de mejora del producto.</w:t>
      </w:r>
    </w:p>
    <w:p>
      <w:pPr>
        <w:pStyle w:val="Heading1"/>
        <w:spacing w:after="160" w:before="320"/>
      </w:pPr>
      <w:r>
        <w:rPr>
          <w:rFonts w:ascii="Calibri" w:cs="Calibri" w:eastAsia="Calibri" w:hAnsi="Calibri"/>
          <w:b/>
          <w:bCs/>
          <w:color w:val="1F3864"/>
          <w:sz w:val="28"/>
          <w:szCs w:val="28"/>
        </w:rPr>
        <w:t xml:space="preserve">3. Relación con los intereses profesionales</w:t>
      </w:r>
    </w:p>
    <w:p>
      <w:pPr>
        <w:spacing w:after="140" w:line="360"/>
        <w:jc w:val="both"/>
      </w:pPr>
      <w:r>
        <w:rPr>
          <w:rFonts w:ascii="Calibri" w:cs="Calibri" w:eastAsia="Calibri" w:hAnsi="Calibri"/>
          <w:sz w:val="22"/>
          <w:szCs w:val="22"/>
        </w:rPr>
        <w:t xml:space="preserve">El proyecto fue escogido por convergencia: cada integrante encontró en él un frente alineado con su proyección profesional, y la distribución de responsabilidades se definió a partir de esa correspondencia y no de un reparto arbitrario de tareas.</w:t>
      </w:r>
    </w:p>
    <w:p>
      <w:pPr>
        <w:pStyle w:val="Heading2"/>
        <w:spacing w:after="110" w:before="220"/>
      </w:pPr>
      <w:r>
        <w:rPr>
          <w:rFonts w:ascii="Calibri" w:cs="Calibri" w:eastAsia="Calibri" w:hAnsi="Calibri"/>
          <w:b/>
          <w:bCs/>
          <w:color w:val="1F3864"/>
          <w:sz w:val="23"/>
          <w:szCs w:val="23"/>
        </w:rPr>
        <w:t xml:space="preserve">3.1 Pedro Nicolás Santibáñez Black</w:t>
      </w:r>
    </w:p>
    <w:p>
      <w:pPr>
        <w:spacing w:after="140" w:line="360"/>
        <w:jc w:val="both"/>
      </w:pPr>
      <w:r>
        <w:rPr>
          <w:rFonts w:ascii="Calibri" w:cs="Calibri" w:eastAsia="Calibri" w:hAnsi="Calibri"/>
          <w:sz w:val="22"/>
          <w:szCs w:val="22"/>
        </w:rPr>
        <w:t xml:space="preserve">Mis intereses profesionales se orientan al desarrollo web y a la ciberseguridad asociada a él, así como al ámbito de las bases de datos, con la proyección de desempeñarme como administrador de bases de datos. De estas áreas, la ciberseguridad es la que más me interesa y, a la vez, aquella en la que reconozco un dominio solo aceptable y que necesito fortalecer con práctica.</w:t>
      </w:r>
    </w:p>
    <w:p>
      <w:pPr>
        <w:spacing w:after="140" w:line="360"/>
        <w:jc w:val="both"/>
      </w:pPr>
      <w:r>
        <w:rPr>
          <w:rFonts w:ascii="Calibri" w:cs="Calibri" w:eastAsia="Calibri" w:hAnsi="Calibri"/>
          <w:sz w:val="22"/>
          <w:szCs w:val="22"/>
        </w:rPr>
        <w:t xml:space="preserve">El proyecto atiende ambas dimensiones. Por el lado del desarrollo web, asumo la construcción completa de la interfaz: catálogo, flujo de compra, panel de analítica e interfaz del asistente. El desafío excede lo visual, porque la interfaz debe representar de forma comprensible información proveniente de tres fuentes distintas —transacciones, métricas agregadas y salidas de los modelos predictivos— y hacerlo utilizable por una persona sin formación técnica. Por el lado de la seguridad, una arquitectura multi-tenant es esencialmente un problema de aislamiento: cada consulta debe quedar acotada al vendedor autenticado, y una omisión no produce un error visible sino una filtración silenciosa. Asumo ese frente, lo que me obliga a diseñar la autenticación y autorización por rol, definir las políticas de acceso y validar rigurosamente la entrada del asistente conversacional, que constituye un vector de riesgo evidente al traducir texto libre en consultas sobre datos.</w:t>
      </w:r>
    </w:p>
    <w:p>
      <w:pPr>
        <w:pStyle w:val="Heading2"/>
        <w:spacing w:after="110" w:before="220"/>
      </w:pPr>
      <w:r>
        <w:rPr>
          <w:rFonts w:ascii="Calibri" w:cs="Calibri" w:eastAsia="Calibri" w:hAnsi="Calibri"/>
          <w:b/>
          <w:bCs/>
          <w:color w:val="1F3864"/>
          <w:sz w:val="23"/>
          <w:szCs w:val="23"/>
        </w:rPr>
        <w:t xml:space="preserve">3.2 Daniel Antonio Azócar Pizarro</w:t>
      </w:r>
    </w:p>
    <w:p>
      <w:pPr>
        <w:spacing w:after="140" w:line="360"/>
        <w:jc w:val="both"/>
      </w:pPr>
      <w:r>
        <w:rPr>
          <w:rFonts w:ascii="Calibri" w:cs="Calibri" w:eastAsia="Calibri" w:hAnsi="Calibri"/>
          <w:sz w:val="22"/>
          <w:szCs w:val="22"/>
        </w:rPr>
        <w:t xml:space="preserve">Mi proyección profesional está ligada a la mención de Ciencia de Datos que curso dentro de la carrera: aspiro a desempeñarme como Ingeniero de Machine Learning o Data Scientist. Las asignaturas de esa línea —aprendizaje automático, aprendizaje profundo y minería de datos— son las que más me han interesado, y reconozco la construcción de modelos de datos entre mis fortalezas.</w:t>
      </w:r>
    </w:p>
    <w:p>
      <w:pPr>
        <w:spacing w:after="140" w:line="360"/>
        <w:jc w:val="both"/>
      </w:pPr>
      <w:r>
        <w:rPr>
          <w:rFonts w:ascii="Calibri" w:cs="Calibri" w:eastAsia="Calibri" w:hAnsi="Calibri"/>
          <w:sz w:val="22"/>
          <w:szCs w:val="22"/>
        </w:rPr>
        <w:t xml:space="preserve">Asumo el modelo de datos y los dos modelos predictivos del proyecto. Esto significa recorrer el ciclo analítico completo y no solo su etapa visible: comprender el negocio del cliente, evaluar la calidad y cobertura de los datos disponibles, prepararlos, entrenar y comparar alternativas, evaluar el error con métricas objetivas y desplegar el resultado como un servicio que la aplicación pueda consumir. Es el paso desde el ejercicio académico sobre conjuntos de datos ya preparados hacia el problema real de trabajar con datos escasos, ruidosos y generados por el propio sistema que se construye. Complementariamente, asumo la conducción de la planificación de sprints como decisión deliberada, porque la evaluación y gestión de proyectos es la competencia que reconozco necesitar fortalecer especialmente: liderar iniciativas de datos en el futuro exige capacidad metodológica y no solo técnica.</w:t>
      </w:r>
    </w:p>
    <w:p>
      <w:pPr>
        <w:pStyle w:val="Heading1"/>
        <w:spacing w:after="160" w:before="320"/>
      </w:pPr>
      <w:r>
        <w:rPr>
          <w:rFonts w:ascii="Calibri" w:cs="Calibri" w:eastAsia="Calibri" w:hAnsi="Calibri"/>
          <w:b/>
          <w:bCs/>
          <w:color w:val="1F3864"/>
          <w:sz w:val="28"/>
          <w:szCs w:val="28"/>
        </w:rPr>
        <w:t xml:space="preserve">4. Factibilidad del proyecto en el marco de la asignatura</w:t>
      </w:r>
    </w:p>
    <w:p>
      <w:pPr>
        <w:spacing w:after="140" w:line="360"/>
        <w:jc w:val="both"/>
      </w:pPr>
      <w:r>
        <w:rPr>
          <w:rFonts w:ascii="Calibri" w:cs="Calibri" w:eastAsia="Calibri" w:hAnsi="Calibri"/>
          <w:sz w:val="22"/>
          <w:szCs w:val="22"/>
        </w:rPr>
        <w:t xml:space="preserve">La factibilidad se sostiene en cuatro argumentos, referidos al tiempo disponible, los recursos necesarios, el dominio técnico previo y el acotamiento deliberado del alcance.</w:t>
      </w:r>
    </w:p>
    <w:p>
      <w:pPr>
        <w:pStyle w:val="ListParagraph"/>
        <w:numPr>
          <w:ilvl w:val="0"/>
          <w:numId w:val="2"/>
        </w:numPr>
        <w:spacing w:after="90" w:line="360"/>
        <w:jc w:val="both"/>
      </w:pPr>
      <w:r>
        <w:rPr>
          <w:rFonts w:ascii="Calibri" w:cs="Calibri" w:eastAsia="Calibri" w:hAnsi="Calibri"/>
          <w:b/>
          <w:bCs/>
          <w:sz w:val="22"/>
          <w:szCs w:val="22"/>
        </w:rPr>
        <w:t xml:space="preserve">Tiempo. </w:t>
      </w:r>
      <w:r>
        <w:rPr>
          <w:rFonts w:ascii="Calibri" w:cs="Calibri" w:eastAsia="Calibri" w:hAnsi="Calibri"/>
          <w:sz w:val="22"/>
          <w:szCs w:val="22"/>
        </w:rPr>
        <w:t xml:space="preserve">El trabajo se distribuye en ocho sprints de dos semanas sobre las dieciocho semanas del período académico, alineados con las tres fases de la asignatura. Cada sprint cierra con un incremento funcional validable por el cliente, de modo que el avance es verificable de forma continua y el proyecto no depende de una entrega única al final. Esta estructura permite además detectar tempranamente una desviación de calendario y repriorizar antes de que comprometa la entrega.</w:t>
      </w:r>
    </w:p>
    <w:p>
      <w:pPr>
        <w:pStyle w:val="ListParagraph"/>
        <w:numPr>
          <w:ilvl w:val="0"/>
          <w:numId w:val="2"/>
        </w:numPr>
        <w:spacing w:after="90" w:line="360"/>
        <w:jc w:val="both"/>
      </w:pPr>
      <w:r>
        <w:rPr>
          <w:rFonts w:ascii="Calibri" w:cs="Calibri" w:eastAsia="Calibri" w:hAnsi="Calibri"/>
          <w:b/>
          <w:bCs/>
          <w:sz w:val="22"/>
          <w:szCs w:val="22"/>
        </w:rPr>
        <w:t xml:space="preserve">Recursos. </w:t>
      </w:r>
      <w:r>
        <w:rPr>
          <w:rFonts w:ascii="Calibri" w:cs="Calibri" w:eastAsia="Calibri" w:hAnsi="Calibri"/>
          <w:sz w:val="22"/>
          <w:szCs w:val="22"/>
        </w:rPr>
        <w:t xml:space="preserve">El desarrollo se realiza sobre equipos propios y la totalidad del stack es de código abierto o dispone de planes gratuitos suficientes para el volumen de un proyecto de titulación. No se requiere inversión económica relevante ni infraestructura que el equipo no controle. Los datos necesarios para los modelos provienen del propio sistema y de los registros históricos del cliente, sin depender de integraciones con terceros.</w:t>
      </w:r>
    </w:p>
    <w:p>
      <w:pPr>
        <w:pStyle w:val="ListParagraph"/>
        <w:numPr>
          <w:ilvl w:val="0"/>
          <w:numId w:val="2"/>
        </w:numPr>
        <w:spacing w:after="90" w:line="360"/>
        <w:jc w:val="both"/>
      </w:pPr>
      <w:r>
        <w:rPr>
          <w:rFonts w:ascii="Calibri" w:cs="Calibri" w:eastAsia="Calibri" w:hAnsi="Calibri"/>
          <w:b/>
          <w:bCs/>
          <w:sz w:val="22"/>
          <w:szCs w:val="22"/>
        </w:rPr>
        <w:t xml:space="preserve">Dominio técnico previo. </w:t>
      </w:r>
      <w:r>
        <w:rPr>
          <w:rFonts w:ascii="Calibri" w:cs="Calibri" w:eastAsia="Calibri" w:hAnsi="Calibri"/>
          <w:sz w:val="22"/>
          <w:szCs w:val="22"/>
        </w:rPr>
        <w:t xml:space="preserve">Ambos integrantes han trabajado con las tecnologías seleccionadas en asignaturas anteriores y en proyectos personales. Esta fue la razón principal para escoger este stack por sobre alternativas: reducir el riesgo de la construcción para invertir el tiempo disponible en los componentes que sí resultan nuevos para el equipo, que son los modelos predictivos y el asistente conversacional. El uso de Python en la capa de servicios permite además integrar el ecosistema de aprendizaje automático sin sumar un lenguaje ni un servicio adicional a la arquitectura.</w:t>
      </w:r>
    </w:p>
    <w:p>
      <w:pPr>
        <w:pStyle w:val="ListParagraph"/>
        <w:numPr>
          <w:ilvl w:val="0"/>
          <w:numId w:val="2"/>
        </w:numPr>
        <w:spacing w:after="90" w:line="360"/>
        <w:jc w:val="both"/>
      </w:pPr>
      <w:r>
        <w:rPr>
          <w:rFonts w:ascii="Calibri" w:cs="Calibri" w:eastAsia="Calibri" w:hAnsi="Calibri"/>
          <w:b/>
          <w:bCs/>
          <w:sz w:val="22"/>
          <w:szCs w:val="22"/>
        </w:rPr>
        <w:t xml:space="preserve">Acotamiento del alcance. </w:t>
      </w:r>
      <w:r>
        <w:rPr>
          <w:rFonts w:ascii="Calibri" w:cs="Calibri" w:eastAsia="Calibri" w:hAnsi="Calibri"/>
          <w:sz w:val="22"/>
          <w:szCs w:val="22"/>
        </w:rPr>
        <w:t xml:space="preserve">El checkout se implementa de forma simulada: el sistema genera el pedido y el pago se coordina fuera de la plataforma. Se evita así el proceso de certificación con una pasarela de pagos, que consume semanas sin aportar a ninguna competencia del perfil que el proyecto no cubra por otra vía. La búsqueda visual de productos por imagen se declara fuera de alcance y se documenta como trabajo futuro, por requerir un catálogo fotográfico extenso y etiquetado del que el cliente no dispone.</w:t>
      </w:r>
    </w:p>
    <w:p>
      <w:pPr>
        <w:spacing w:after="140" w:line="360"/>
        <w:jc w:val="both"/>
      </w:pPr>
      <w:r>
        <w:rPr>
          <w:rFonts w:ascii="Calibri" w:cs="Calibri" w:eastAsia="Calibri" w:hAnsi="Calibri"/>
          <w:sz w:val="22"/>
          <w:szCs w:val="22"/>
        </w:rPr>
        <w:t xml:space="preserve">Respecto de los tres componentes de inteligencia comprometidos, es necesario precisar que no constituyen tres desarrollos independientes. El pronóstico de demanda y la segmentación de clientes comparten la etapa de preparación de datos, que concentra el mayor esfuerzo del ciclo analítico, y la recomendación de descuentos no requiere un modelo propio sino un motor de reglas construido sobre las salidas de los dos anteriores. Ese encadenamiento es lo que hace viable el alcance analítico para un equipo de dos integrantes.</w:t>
      </w:r>
    </w:p>
    <w:p>
      <w:pPr>
        <w:pStyle w:val="Heading2"/>
        <w:spacing w:after="110" w:before="220"/>
      </w:pPr>
      <w:r>
        <w:rPr>
          <w:rFonts w:ascii="Calibri" w:cs="Calibri" w:eastAsia="Calibri" w:hAnsi="Calibri"/>
          <w:b/>
          <w:bCs/>
          <w:color w:val="1F3864"/>
          <w:sz w:val="23"/>
          <w:szCs w:val="23"/>
        </w:rPr>
        <w:t xml:space="preserve">4.1 Dificultades previstas y su abordaje</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600"/>
        <w:gridCol w:w="6760"/>
      </w:tblGrid>
      <w:tr>
        <w:trPr>
          <w:tblHeader/>
        </w:trPr>
        <w:tc>
          <w:tcPr>
            <w:tcW w:type="dxa" w:w="260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Dificultad</w:t>
            </w:r>
          </w:p>
        </w:tc>
        <w:tc>
          <w:tcPr>
            <w:tcW w:type="dxa" w:w="676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Cómo se aborda</w:t>
            </w:r>
          </w:p>
        </w:tc>
      </w:tr>
      <w:tr>
        <w:trPr>
          <w:cantSplit/>
        </w:trPr>
        <w:tc>
          <w:tcPr>
            <w:tcW w:type="dxa" w:w="2600"/>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Historial de ventas insuficiente para entrenar los modelos</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Se desarrolla tempranamente un módulo de ingesta que digitaliza los registros manuales del cliente. Durante el desarrollo se trabaja con datos sintéticos de estacionalidad realista, sustituidos por datos reales a medida que la plataforma acumula transacciones. Se define además un modelo de referencia de promedio móvil que entrega un pronóstico útil incluso con poco historial.</w:t>
            </w:r>
          </w:p>
        </w:tc>
      </w:tr>
      <w:tr>
        <w:trPr>
          <w:cantSplit/>
        </w:trP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Crecimiento no controlado del alcance</w:t>
            </w:r>
          </w:p>
        </w:tc>
        <w:tc>
          <w:tcPr>
            <w:tcW w:type="dxa" w:w="67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El alcance comprometido se formaliza al término del sprint de levantamiento. Todo requerimiento posterior ingresa al backlog y solo se incorpora desplazando otro elemento de prioridad equivalente, decisión que se toma explícitamente con el cliente y queda registrada.</w:t>
            </w:r>
          </w:p>
        </w:tc>
      </w:tr>
      <w:tr>
        <w:trPr>
          <w:cantSplit/>
        </w:trPr>
        <w:tc>
          <w:tcPr>
            <w:tcW w:type="dxa" w:w="2600"/>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Incertidumbre técnica del asistente conversacional</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Se acota a un conjunto cerrado de consultas predefinidas sobre métricas de la tienda, en lugar de una traducción abierta de lenguaje natural a consultas de base de datos. El alcance reducido cumple el objetivo funcional y admite ampliación posterior si el calendario lo permite.</w:t>
            </w:r>
          </w:p>
        </w:tc>
      </w:tr>
      <w:tr>
        <w:trPr>
          <w:cantSplit/>
        </w:trPr>
        <w:tc>
          <w:tcPr>
            <w:tcW w:type="dxa" w:w="26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Ausencia temporal de un integrante</w:t>
            </w:r>
          </w:p>
        </w:tc>
        <w:tc>
          <w:tcPr>
            <w:tcW w:type="dxa" w:w="67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Con dos integrantes, la pérdida de capacidad sería del cincuenta por ciento. Se evita la especialización exclusiva: la capa de servicios se desarrolla de forma compartida, todo el código pasa por revisión cruzada y la documentación técnica se mantiene actualizada en el repositorio desde el primer sprint.</w:t>
            </w:r>
          </w:p>
        </w:tc>
      </w:tr>
      <w:tr>
        <w:trPr>
          <w:cantSplit/>
        </w:trPr>
        <w:tc>
          <w:tcPr>
            <w:tcW w:type="dxa" w:w="2600"/>
            <w:tcMar>
              <w:top w:type="dxa" w:w="60"/>
              <w:left w:type="dxa" w:w="90"/>
              <w:bottom w:type="dxa" w:w="60"/>
              <w:right w:type="dxa" w:w="90"/>
            </w:tcMar>
            <w:vAlign w:val="top"/>
          </w:tcPr>
          <w:p>
            <w:pPr>
              <w:spacing w:after="30" w:before="30" w:line="240"/>
              <w:jc w:val="left"/>
            </w:pPr>
            <w:r>
              <w:rPr>
                <w:rFonts w:ascii="Calibri" w:cs="Calibri" w:eastAsia="Calibri" w:hAnsi="Calibri"/>
                <w:b/>
                <w:bCs/>
                <w:sz w:val="18"/>
                <w:szCs w:val="18"/>
              </w:rPr>
              <w:t xml:space="preserve">Disponibilidad del cliente para las validaciones</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Se acuerda al inicio un calendario fijo de revisiones al cierre de cada sprint, con agenda enviada con anticipación, y se habilita un canal asincrónico de consultas. Todo acuerdo queda registrado en una bitácora del proyecto.</w:t>
            </w:r>
          </w:p>
        </w:tc>
      </w:tr>
    </w:tbl>
    <w:p>
      <w:pPr>
        <w:pStyle w:val="Heading1"/>
        <w:spacing w:after="160" w:before="320"/>
      </w:pPr>
      <w:r>
        <w:rPr>
          <w:rFonts w:ascii="Calibri" w:cs="Calibri" w:eastAsia="Calibri" w:hAnsi="Calibri"/>
          <w:b/>
          <w:bCs/>
          <w:color w:val="1F3864"/>
          <w:sz w:val="28"/>
          <w:szCs w:val="28"/>
        </w:rPr>
        <w:t xml:space="preserve">5. Cumplimiento de los indicadores de calidad</w:t>
      </w:r>
    </w:p>
    <w:p>
      <w:pPr>
        <w:spacing w:after="140" w:line="360"/>
        <w:jc w:val="both"/>
      </w:pPr>
      <w:r>
        <w:rPr>
          <w:rFonts w:ascii="Calibri" w:cs="Calibri" w:eastAsia="Calibri" w:hAnsi="Calibri"/>
          <w:sz w:val="22"/>
          <w:szCs w:val="22"/>
        </w:rPr>
        <w:t xml:space="preserve">A continuación se declara la presencia de cada indicador de calidad disciplinar asociado a las competencias del perfil de egreso, indicando su aplicación concreta dentro del diseño del proyecto.</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900"/>
        <w:gridCol w:w="1200"/>
        <w:gridCol w:w="5260"/>
      </w:tblGrid>
      <w:tr>
        <w:trPr>
          <w:tblHeader/>
        </w:trPr>
        <w:tc>
          <w:tcPr>
            <w:tcW w:type="dxa" w:w="290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Indicador de calidad</w:t>
            </w:r>
          </w:p>
        </w:tc>
        <w:tc>
          <w:tcPr>
            <w:tcW w:type="dxa" w:w="120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Estado</w:t>
            </w:r>
          </w:p>
        </w:tc>
        <w:tc>
          <w:tcPr>
            <w:tcW w:type="dxa" w:w="5260"/>
            <w:shd w:fill="1F3864"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color w:val="FFFFFF"/>
                <w:sz w:val="18"/>
                <w:szCs w:val="18"/>
              </w:rPr>
              <w:t xml:space="preserve">Aplicación en el proyecto</w:t>
            </w:r>
          </w:p>
        </w:tc>
      </w:tr>
      <w:tr>
        <w:trPr>
          <w:cantSplit/>
        </w:trPr>
        <w:tc>
          <w:tcPr>
            <w:tcW w:type="dxa" w:w="290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1.1 Diseña pruebas de validación de productos y procesos según buenas prácticas de la industria</w:t>
            </w:r>
          </w:p>
        </w:tc>
        <w:tc>
          <w:tcPr>
            <w:tcW w:type="dxa" w:w="1200"/>
            <w:tcMar>
              <w:top w:type="dxa" w:w="60"/>
              <w:left w:type="dxa" w:w="90"/>
              <w:bottom w:type="dxa" w:w="60"/>
              <w:right w:type="dxa" w:w="90"/>
            </w:tcMar>
            <w:vAlign w:val="top"/>
          </w:tcPr>
          <w:p>
            <w:pPr>
              <w:spacing w:after="30" w:before="30" w:line="240"/>
              <w:jc w:val="center"/>
            </w:pPr>
            <w:r>
              <w:rPr>
                <w:rFonts w:ascii="Calibri" w:cs="Calibri" w:eastAsia="Calibri" w:hAnsi="Calibri"/>
                <w:b/>
                <w:bCs/>
                <w:color w:val="1E6B3A"/>
                <w:sz w:val="18"/>
                <w:szCs w:val="18"/>
              </w:rPr>
              <w:t xml:space="preserve">Presente</w:t>
            </w:r>
          </w:p>
        </w:tc>
        <w:tc>
          <w:tcPr>
            <w:tcW w:type="dxa" w:w="52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Se diseña un plan de pruebas con casos unitarios sobre la lógica de precios escalonados y el aislamiento de datos, casos de integración sobre el flujo de pedido y casos específicos de control de acceso entre tiendas, con criterios de aceptación definidos por historia de usuario.</w:t>
            </w:r>
          </w:p>
        </w:tc>
      </w:tr>
      <w:tr>
        <w:trPr>
          <w:cantSplit/>
        </w:trPr>
        <w:tc>
          <w:tcPr>
            <w:tcW w:type="dxa" w:w="2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1.2 Aplica pruebas de validación de productos y procesos según buenas prácticas de la industria</w:t>
            </w:r>
          </w:p>
        </w:tc>
        <w:tc>
          <w:tcPr>
            <w:tcW w:type="dxa" w:w="1200"/>
            <w:shd w:fill="EDF1F8"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1E6B3A"/>
                <w:sz w:val="18"/>
                <w:szCs w:val="18"/>
              </w:rPr>
              <w:t xml:space="preserve">Presente</w:t>
            </w:r>
          </w:p>
        </w:tc>
        <w:tc>
          <w:tcPr>
            <w:tcW w:type="dxa" w:w="52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Las pruebas se ejecutan de forma continua en cada integración de código, y las de aceptación se aplican junto al cliente al cierre de cada sprint, dejando registro documentado de los resultados obtenidos.</w:t>
            </w:r>
          </w:p>
        </w:tc>
      </w:tr>
      <w:tr>
        <w:trPr>
          <w:cantSplit/>
        </w:trPr>
        <w:tc>
          <w:tcPr>
            <w:tcW w:type="dxa" w:w="290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1.3 Desarrolla mejoras al producto en base al resultado de las pruebas</w:t>
            </w:r>
          </w:p>
        </w:tc>
        <w:tc>
          <w:tcPr>
            <w:tcW w:type="dxa" w:w="1200"/>
            <w:tcMar>
              <w:top w:type="dxa" w:w="60"/>
              <w:left w:type="dxa" w:w="90"/>
              <w:bottom w:type="dxa" w:w="60"/>
              <w:right w:type="dxa" w:w="90"/>
            </w:tcMar>
            <w:vAlign w:val="top"/>
          </w:tcPr>
          <w:p>
            <w:pPr>
              <w:spacing w:after="30" w:before="30" w:line="240"/>
              <w:jc w:val="center"/>
            </w:pPr>
            <w:r>
              <w:rPr>
                <w:rFonts w:ascii="Calibri" w:cs="Calibri" w:eastAsia="Calibri" w:hAnsi="Calibri"/>
                <w:b/>
                <w:bCs/>
                <w:color w:val="1E6B3A"/>
                <w:sz w:val="18"/>
                <w:szCs w:val="18"/>
              </w:rPr>
              <w:t xml:space="preserve">Presente</w:t>
            </w:r>
          </w:p>
        </w:tc>
        <w:tc>
          <w:tcPr>
            <w:tcW w:type="dxa" w:w="52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Los hallazgos de cada ciclo de pruebas y la retroalimentación recogida en la revisión con el cliente ingresan al backlog como elementos priorizados del sprint siguiente, lo que cierra formalmente el ciclo de mejora continua.</w:t>
            </w:r>
          </w:p>
        </w:tc>
      </w:tr>
      <w:tr>
        <w:trPr>
          <w:cantSplit/>
        </w:trPr>
        <w:tc>
          <w:tcPr>
            <w:tcW w:type="dxa" w:w="2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2.1 Planifica proyectos informáticos ofreciendo alternativas para la toma de decisiones</w:t>
            </w:r>
          </w:p>
        </w:tc>
        <w:tc>
          <w:tcPr>
            <w:tcW w:type="dxa" w:w="1200"/>
            <w:shd w:fill="EDF1F8"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1E6B3A"/>
                <w:sz w:val="18"/>
                <w:szCs w:val="18"/>
              </w:rPr>
              <w:t xml:space="preserve">Presente</w:t>
            </w:r>
          </w:p>
        </w:tc>
        <w:tc>
          <w:tcPr>
            <w:tcW w:type="dxa" w:w="52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Se elabora un backlog priorizado y un plan de ocho sprints. Frente a la restricción de capacidad del equipo se ofrecieron alternativas de alcance al cliente, resolviendo dejar el checkout simulado y la búsqueda visual como trabajo futuro, con el criterio documentado.</w:t>
            </w:r>
          </w:p>
        </w:tc>
      </w:tr>
      <w:tr>
        <w:trPr>
          <w:cantSplit/>
        </w:trPr>
        <w:tc>
          <w:tcPr>
            <w:tcW w:type="dxa" w:w="290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2.2 Controla proyectos informáticos ofreciendo alternativas para la toma de decisiones</w:t>
            </w:r>
          </w:p>
        </w:tc>
        <w:tc>
          <w:tcPr>
            <w:tcW w:type="dxa" w:w="1200"/>
            <w:tcMar>
              <w:top w:type="dxa" w:w="60"/>
              <w:left w:type="dxa" w:w="90"/>
              <w:bottom w:type="dxa" w:w="60"/>
              <w:right w:type="dxa" w:w="90"/>
            </w:tcMar>
            <w:vAlign w:val="top"/>
          </w:tcPr>
          <w:p>
            <w:pPr>
              <w:spacing w:after="30" w:before="30" w:line="240"/>
              <w:jc w:val="center"/>
            </w:pPr>
            <w:r>
              <w:rPr>
                <w:rFonts w:ascii="Calibri" w:cs="Calibri" w:eastAsia="Calibri" w:hAnsi="Calibri"/>
                <w:b/>
                <w:bCs/>
                <w:color w:val="1E6B3A"/>
                <w:sz w:val="18"/>
                <w:szCs w:val="18"/>
              </w:rPr>
              <w:t xml:space="preserve">Presente</w:t>
            </w:r>
          </w:p>
        </w:tc>
        <w:tc>
          <w:tcPr>
            <w:tcW w:type="dxa" w:w="52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El avance se controla mediante tablero de tareas y gráficos de avance por sprint, con revisión y retrospectiva quincenales. Las desviaciones se resuelven con decisiones explícitas de repriorización acordadas con el cliente y registradas en la bitácora.</w:t>
            </w:r>
          </w:p>
        </w:tc>
      </w:tr>
      <w:tr>
        <w:trPr>
          <w:cantSplit/>
        </w:trPr>
        <w:tc>
          <w:tcPr>
            <w:tcW w:type="dxa" w:w="2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3.1 Diseña modelos de datos escalables para soportar los requerimientos de la organización</w:t>
            </w:r>
          </w:p>
        </w:tc>
        <w:tc>
          <w:tcPr>
            <w:tcW w:type="dxa" w:w="1200"/>
            <w:shd w:fill="EDF1F8"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1E6B3A"/>
                <w:sz w:val="18"/>
                <w:szCs w:val="18"/>
              </w:rPr>
              <w:t xml:space="preserve">Presente</w:t>
            </w:r>
          </w:p>
        </w:tc>
        <w:tc>
          <w:tcPr>
            <w:tcW w:type="dxa" w:w="52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Se diseña un modelo relacional normalizado que resuelve el aislamiento multi-tienda, las variantes de producto y las listas de precios escalonadas, documentado mediante modelo entidad-relación y diccionario de datos.</w:t>
            </w:r>
          </w:p>
        </w:tc>
      </w:tr>
      <w:tr>
        <w:trPr>
          <w:cantSplit/>
        </w:trPr>
        <w:tc>
          <w:tcPr>
            <w:tcW w:type="dxa" w:w="290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3.2 Implementa modelos de datos escalables para soportar los requerimientos de la organización</w:t>
            </w:r>
          </w:p>
        </w:tc>
        <w:tc>
          <w:tcPr>
            <w:tcW w:type="dxa" w:w="1200"/>
            <w:tcMar>
              <w:top w:type="dxa" w:w="60"/>
              <w:left w:type="dxa" w:w="90"/>
              <w:bottom w:type="dxa" w:w="60"/>
              <w:right w:type="dxa" w:w="90"/>
            </w:tcMar>
            <w:vAlign w:val="top"/>
          </w:tcPr>
          <w:p>
            <w:pPr>
              <w:spacing w:after="30" w:before="30" w:line="240"/>
              <w:jc w:val="center"/>
            </w:pPr>
            <w:r>
              <w:rPr>
                <w:rFonts w:ascii="Calibri" w:cs="Calibri" w:eastAsia="Calibri" w:hAnsi="Calibri"/>
                <w:b/>
                <w:bCs/>
                <w:color w:val="1E6B3A"/>
                <w:sz w:val="18"/>
                <w:szCs w:val="18"/>
              </w:rPr>
              <w:t xml:space="preserve">Presente</w:t>
            </w:r>
          </w:p>
        </w:tc>
        <w:tc>
          <w:tcPr>
            <w:tcW w:type="dxa" w:w="52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El modelo se implementa en PostgreSQL mediante migraciones versionadas, con índices sobre las consultas de agregación que alimentan el panel de analítica y los conjuntos de entrenamiento de los modelos predictivos.</w:t>
            </w:r>
          </w:p>
        </w:tc>
      </w:tr>
      <w:tr>
        <w:trPr>
          <w:cantSplit/>
        </w:trPr>
        <w:tc>
          <w:tcPr>
            <w:tcW w:type="dxa" w:w="2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4.1 Construye una solución de software sistematizando el proceso de desarrollo y mantenimiento</w:t>
            </w:r>
          </w:p>
        </w:tc>
        <w:tc>
          <w:tcPr>
            <w:tcW w:type="dxa" w:w="1200"/>
            <w:shd w:fill="EDF1F8"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1E6B3A"/>
                <w:sz w:val="18"/>
                <w:szCs w:val="18"/>
              </w:rPr>
              <w:t xml:space="preserve">Presente</w:t>
            </w:r>
          </w:p>
        </w:tc>
        <w:tc>
          <w:tcPr>
            <w:tcW w:type="dxa" w:w="52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La construcción se sistematiza con control de versiones, flujo de ramas por funcionalidad, revisión cruzada obligatoria del código, estándares de estilo por lenguaje y un criterio de trabajo terminado común a todas las historias.</w:t>
            </w:r>
          </w:p>
        </w:tc>
      </w:tr>
      <w:tr>
        <w:trPr>
          <w:cantSplit/>
        </w:trPr>
        <w:tc>
          <w:tcPr>
            <w:tcW w:type="dxa" w:w="290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4.2 Integra los distintos componentes de una solución de software</w:t>
            </w:r>
          </w:p>
        </w:tc>
        <w:tc>
          <w:tcPr>
            <w:tcW w:type="dxa" w:w="1200"/>
            <w:tcMar>
              <w:top w:type="dxa" w:w="60"/>
              <w:left w:type="dxa" w:w="90"/>
              <w:bottom w:type="dxa" w:w="60"/>
              <w:right w:type="dxa" w:w="90"/>
            </w:tcMar>
            <w:vAlign w:val="top"/>
          </w:tcPr>
          <w:p>
            <w:pPr>
              <w:spacing w:after="30" w:before="30" w:line="240"/>
              <w:jc w:val="center"/>
            </w:pPr>
            <w:r>
              <w:rPr>
                <w:rFonts w:ascii="Calibri" w:cs="Calibri" w:eastAsia="Calibri" w:hAnsi="Calibri"/>
                <w:b/>
                <w:bCs/>
                <w:color w:val="1E6B3A"/>
                <w:sz w:val="18"/>
                <w:szCs w:val="18"/>
              </w:rPr>
              <w:t xml:space="preserve">Presente</w:t>
            </w:r>
          </w:p>
        </w:tc>
        <w:tc>
          <w:tcPr>
            <w:tcW w:type="dxa" w:w="5260"/>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Se integran la interfaz en Next.js, la capa de servicios en Django REST Framework, los dos servicios predictivos y el asistente conversacional mediante contratos de interfaz documentados y pruebas de integración automatizadas.</w:t>
            </w:r>
          </w:p>
        </w:tc>
      </w:tr>
      <w:tr>
        <w:trPr>
          <w:cantSplit/>
        </w:trPr>
        <w:tc>
          <w:tcPr>
            <w:tcW w:type="dxa" w:w="290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4.3 Implanta una solución de software asegurando el logro de los objetivos</w:t>
            </w:r>
          </w:p>
        </w:tc>
        <w:tc>
          <w:tcPr>
            <w:tcW w:type="dxa" w:w="1200"/>
            <w:shd w:fill="EDF1F8"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bCs/>
                <w:color w:val="1E6B3A"/>
                <w:sz w:val="18"/>
                <w:szCs w:val="18"/>
              </w:rPr>
              <w:t xml:space="preserve">Presente</w:t>
            </w:r>
          </w:p>
        </w:tc>
        <w:tc>
          <w:tcPr>
            <w:tcW w:type="dxa" w:w="5260"/>
            <w:shd w:fill="EDF1F8" w:color="auto" w:val="clear"/>
            <w:tcMar>
              <w:top w:type="dxa" w:w="60"/>
              <w:left w:type="dxa" w:w="90"/>
              <w:bottom w:type="dxa" w:w="60"/>
              <w:right w:type="dxa" w:w="90"/>
            </w:tcMar>
            <w:vAlign w:val="top"/>
          </w:tcPr>
          <w:p>
            <w:pPr>
              <w:spacing w:after="30" w:before="30" w:line="240"/>
              <w:jc w:val="left"/>
            </w:pPr>
            <w:r>
              <w:rPr>
                <w:rFonts w:ascii="Calibri" w:cs="Calibri" w:eastAsia="Calibri" w:hAnsi="Calibri"/>
                <w:sz w:val="18"/>
                <w:szCs w:val="18"/>
              </w:rPr>
              <w:t xml:space="preserve">La solución se empaqueta con Docker y se despliega en ambientes de pruebas y producción diferenciados, quedando operativa y accesible para el uso real del cliente, acompañada de manual de usuario.</w:t>
            </w:r>
          </w:p>
        </w:tc>
      </w:tr>
    </w:tbl>
    <w:p>
      <w:pPr>
        <w:spacing w:after="140" w:line="360"/>
        <w:jc w:val="both"/>
      </w:pPr>
      <w:r>
        <w:rPr>
          <w:rFonts w:ascii="Calibri" w:cs="Calibri" w:eastAsia="Calibri" w:hAnsi="Calibri"/>
          <w:sz w:val="22"/>
          <w:szCs w:val="22"/>
        </w:rPr>
        <w:t xml:space="preserve">Los diez indicadores se encuentran presentes en el diseño. Esto no responde a una declaración optimista sino al alcance escogido: una plataforma SaaS multi-tienda con capa analítica obliga a recorrer el ciclo completo de desarrollo —planificación, modelado de datos, construcción, integración, pruebas e implantación— sin permitir omitir ninguna de las cuatro competencias del perfil de egreso.</w:t>
      </w:r>
    </w:p>
    <w:p>
      <w:pPr>
        <w:pStyle w:val="Heading1"/>
        <w:spacing w:after="160" w:before="320"/>
      </w:pPr>
      <w:r>
        <w:rPr>
          <w:rFonts w:ascii="Calibri" w:cs="Calibri" w:eastAsia="Calibri" w:hAnsi="Calibri"/>
          <w:b/>
          <w:bCs/>
          <w:color w:val="1F3864"/>
          <w:sz w:val="28"/>
          <w:szCs w:val="28"/>
        </w:rPr>
        <w:t xml:space="preserve">6. Conclusiones</w:t>
      </w:r>
    </w:p>
    <w:p>
      <w:pPr>
        <w:spacing w:after="140" w:line="360"/>
        <w:jc w:val="both"/>
      </w:pPr>
      <w:r>
        <w:rPr>
          <w:rFonts w:ascii="Calibri" w:cs="Calibri" w:eastAsia="Calibri" w:hAnsi="Calibri"/>
          <w:sz w:val="22"/>
          <w:szCs w:val="22"/>
        </w:rPr>
        <w:t xml:space="preserve">Las conclusiones se presentan de forma individual, dado que cada integrante aborda el proyecto desde una función y una proyección profesional distintas.</w:t>
      </w:r>
    </w:p>
    <w:p>
      <w:pPr>
        <w:pStyle w:val="Heading2"/>
        <w:spacing w:after="110" w:before="220"/>
      </w:pPr>
      <w:r>
        <w:rPr>
          <w:rFonts w:ascii="Calibri" w:cs="Calibri" w:eastAsia="Calibri" w:hAnsi="Calibri"/>
          <w:b/>
          <w:bCs/>
          <w:color w:val="1F3864"/>
          <w:sz w:val="23"/>
          <w:szCs w:val="23"/>
        </w:rPr>
        <w:t xml:space="preserve">6.1 Pedro Nicolás Santibáñez Black</w:t>
      </w:r>
    </w:p>
    <w:p>
      <w:pPr>
        <w:spacing w:after="140" w:line="360"/>
        <w:jc w:val="both"/>
      </w:pPr>
      <w:r>
        <w:rPr>
          <w:rFonts w:ascii="Calibri" w:cs="Calibri" w:eastAsia="Calibri" w:hAnsi="Calibri"/>
          <w:sz w:val="22"/>
          <w:szCs w:val="22"/>
        </w:rPr>
        <w:t xml:space="preserve">La definición del proyecto dejó en evidencia que su dificultad principal no es tecnológica sino de alcance. El equipo dominaba previamente el stack seleccionado, de modo que la construcción no representa un riesgo relevante; lo que sí lo representa es la distancia entre lo que se quiere construir y lo que dos personas pueden entregar en dieciocho semanas. Buena parte de esta fase consistió en decidir qué dejar fuera y en sostener esa decisión ante el cliente, lo que resultó más exigente que definir qué incluir.</w:t>
      </w:r>
    </w:p>
    <w:p>
      <w:pPr>
        <w:spacing w:after="140" w:line="360"/>
        <w:jc w:val="both"/>
      </w:pPr>
      <w:r>
        <w:rPr>
          <w:rFonts w:ascii="Calibri" w:cs="Calibri" w:eastAsia="Calibri" w:hAnsi="Calibri"/>
          <w:sz w:val="22"/>
          <w:szCs w:val="22"/>
        </w:rPr>
        <w:t xml:space="preserve">Una segunda conclusión es que la arquitectura multi-tienda convierte a la seguridad en un requisito estructural y no en una capa añadida al final. Al alojar información comercial de varios vendedores sobre una misma base de datos, una omisión en el control de acceso no genera un error visible sino una filtración silenciosa. Esto obligó a incorporar el aislamiento de datos y sus pruebas al diseño desde el inicio, y explica que asuma ese frente dentro del equipo pese a ser el área donde reconozco menos dominio.</w:t>
      </w:r>
    </w:p>
    <w:p>
      <w:pPr>
        <w:pStyle w:val="Heading2"/>
        <w:spacing w:after="110" w:before="220"/>
      </w:pPr>
      <w:r>
        <w:rPr>
          <w:rFonts w:ascii="Calibri" w:cs="Calibri" w:eastAsia="Calibri" w:hAnsi="Calibri"/>
          <w:b/>
          <w:bCs/>
          <w:color w:val="1F3864"/>
          <w:sz w:val="23"/>
          <w:szCs w:val="23"/>
        </w:rPr>
        <w:t xml:space="preserve">6.2 Daniel Antonio Azócar Pizarro</w:t>
      </w:r>
    </w:p>
    <w:p>
      <w:pPr>
        <w:spacing w:after="140" w:line="360"/>
        <w:jc w:val="both"/>
      </w:pPr>
      <w:r>
        <w:rPr>
          <w:rFonts w:ascii="Calibri" w:cs="Calibri" w:eastAsia="Calibri" w:hAnsi="Calibri"/>
          <w:sz w:val="22"/>
          <w:szCs w:val="22"/>
        </w:rPr>
        <w:t xml:space="preserve">La principal conclusión de esta fase es que el valor de un componente de aprendizaje automático no reside en el algoritmo sino en los datos que lo alimentan. Al analizar la operación del cliente quedó claro que el obstáculo real no sería seleccionar un modelo, sino disponer de un historial suficiente y estructurado para entrenarlo. De ahí surgió el módulo de ingesta desde planillas de cálculo, que no estaba contemplado en la idea inicial y terminó siendo una pieza central de la propuesta.</w:t>
      </w:r>
    </w:p>
    <w:p>
      <w:pPr>
        <w:spacing w:after="140" w:line="360"/>
        <w:jc w:val="both"/>
      </w:pPr>
      <w:r>
        <w:rPr>
          <w:rFonts w:ascii="Calibri" w:cs="Calibri" w:eastAsia="Calibri" w:hAnsi="Calibri"/>
          <w:sz w:val="22"/>
          <w:szCs w:val="22"/>
        </w:rPr>
        <w:t xml:space="preserve">La segunda conclusión es metodológica: los tres componentes de inteligencia comprometidos no son tres proyectos separados. Los dos modelos comparten la etapa de preparación de datos, que es la más costosa del ciclo, y el motor de recomendación no requiere un modelo propio. Reconocer esa dependencia fue lo que permitió comprometer un alcance analítico ambicioso sin comprometer la factibilidad, y es la clase de razonamiento que distingue a un proyecto planificado de uno declarado.</w:t>
      </w:r>
    </w:p>
    <w:p>
      <w:pPr>
        <w:pStyle w:val="Heading1"/>
        <w:spacing w:after="160" w:before="320"/>
      </w:pPr>
      <w:r>
        <w:rPr>
          <w:rFonts w:ascii="Calibri" w:cs="Calibri" w:eastAsia="Calibri" w:hAnsi="Calibri"/>
          <w:b/>
          <w:bCs/>
          <w:color w:val="1F3864"/>
          <w:sz w:val="28"/>
          <w:szCs w:val="28"/>
        </w:rPr>
        <w:t xml:space="preserve">7. Reflexiones</w:t>
      </w:r>
    </w:p>
    <w:p>
      <w:pPr>
        <w:pStyle w:val="Heading2"/>
        <w:spacing w:after="110" w:before="220"/>
      </w:pPr>
      <w:r>
        <w:rPr>
          <w:rFonts w:ascii="Calibri" w:cs="Calibri" w:eastAsia="Calibri" w:hAnsi="Calibri"/>
          <w:b/>
          <w:bCs/>
          <w:color w:val="1F3864"/>
          <w:sz w:val="23"/>
          <w:szCs w:val="23"/>
        </w:rPr>
        <w:t xml:space="preserve">7.1 Pedro Nicolás Santibáñez Black</w:t>
      </w:r>
    </w:p>
    <w:p>
      <w:pPr>
        <w:spacing w:after="140" w:line="360"/>
        <w:jc w:val="both"/>
      </w:pPr>
      <w:r>
        <w:rPr>
          <w:rFonts w:ascii="Calibri" w:cs="Calibri" w:eastAsia="Calibri" w:hAnsi="Calibri"/>
          <w:sz w:val="22"/>
          <w:szCs w:val="22"/>
        </w:rPr>
        <w:t xml:space="preserve">Al revisar mi trayectoria identifico la ciberseguridad como mi principal interés profesional y, al mismo tiempo, como el área donde mi dominio es apenas aceptable. Esa tensión orientó mi participación en la definición: en lugar de concentrarme en el desarrollo web, donde me siento cómodo, asumí el frente de seguridad precisamente porque es donde tengo más que aprender. Sobre el trabajo en equipo, la distribución de responsabilidades no se resolvió repartiendo tareas en partes iguales sino contrastando lo que cada uno declaró como interés y como fortaleza; y que la capa de servicios se desarrolle de forma compartida responde a una preocupación concreta, porque con dos integrantes que uno sea el único que entiende una parte del sistema es un riesgo que el proyecto no puede permitirse. De cara a las fases siguientes, el aprendizaje que quiero sostener es el de justificar decisiones técnicas ante alguien que no es técnico: la propietaria del comercio no evalúa la calidad del código sino si el sistema resuelve un problema que hoy tiene.</w:t>
      </w:r>
    </w:p>
    <w:p>
      <w:pPr>
        <w:pStyle w:val="Heading2"/>
        <w:spacing w:after="110" w:before="220"/>
      </w:pPr>
      <w:r>
        <w:rPr>
          <w:rFonts w:ascii="Calibri" w:cs="Calibri" w:eastAsia="Calibri" w:hAnsi="Calibri"/>
          <w:b/>
          <w:bCs/>
          <w:color w:val="1F3864"/>
          <w:sz w:val="23"/>
          <w:szCs w:val="23"/>
        </w:rPr>
        <w:t xml:space="preserve">7.2 Daniel Antonio Azócar Pizarro</w:t>
      </w:r>
    </w:p>
    <w:p>
      <w:pPr>
        <w:spacing w:after="140" w:line="360"/>
        <w:jc w:val="both"/>
      </w:pPr>
      <w:r>
        <w:rPr>
          <w:rFonts w:ascii="Calibri" w:cs="Calibri" w:eastAsia="Calibri" w:hAnsi="Calibri"/>
          <w:sz w:val="22"/>
          <w:szCs w:val="22"/>
        </w:rPr>
        <w:t xml:space="preserve">Las asignaturas de mi mención me formaron trabajando sobre conjuntos de datos ya preparados, donde el desafío consiste en elegir y ajustar el modelo. Esta fase me mostró que en un contexto real ese es el último paso y no el primero: antes hay que conseguir los datos, entender de dónde vienen, limpiarlos y estructurarlos, y esa etapa concentra la mayor parte del esfuerzo. Un aprendizaje concreto fue la importancia de evaluar cada modelo con las métricas que corresponden a su tipo de problema, porque confundir una métrica de regresión con una de clasificación no produce un error visible sino un número que parece válido y no lo es. En el plano personal, reconocer la gestión de proyectos como mi debilidad y asumir de todas formas la conducción de la planificación es la decisión que más me interesa sostener: he tendido a concentrarme en lo técnico y a desatender la coordinación, y un proyecto con cliente externo, plazos fijos y un compañero que depende de mis entregas no permite esa postergación.</w:t>
      </w:r>
    </w:p>
    <w:p>
      <w:pPr>
        <w:pStyle w:val="Heading1"/>
        <w:spacing w:after="160" w:before="320"/>
      </w:pPr>
      <w:r>
        <w:rPr>
          <w:rFonts w:ascii="Calibri" w:cs="Calibri" w:eastAsia="Calibri" w:hAnsi="Calibri"/>
          <w:b/>
          <w:bCs/>
          <w:color w:val="1F3864"/>
          <w:sz w:val="28"/>
          <w:szCs w:val="28"/>
        </w:rPr>
        <w:t xml:space="preserve">8. Referencias</w:t>
      </w:r>
    </w:p>
    <w:p>
      <w:pPr>
        <w:spacing w:after="100" w:line="360"/>
        <w:jc w:val="both"/>
      </w:pPr>
      <w:r>
        <w:rPr>
          <w:rFonts w:ascii="Calibri" w:cs="Calibri" w:eastAsia="Calibri" w:hAnsi="Calibri"/>
          <w:sz w:val="22"/>
          <w:szCs w:val="22"/>
        </w:rPr>
        <w:t xml:space="preserve">Chapman, P., Clinton, J., Kerber, R., Khabaza, T., Reinartz, T., Shearer, C., y Wirth, R. (2000). CRISP-DM 1.0: Step-by-step data mining guide. SPSS Inc.</w:t>
      </w:r>
    </w:p>
    <w:p>
      <w:pPr>
        <w:spacing w:after="100" w:line="360"/>
        <w:jc w:val="both"/>
      </w:pPr>
      <w:r>
        <w:rPr>
          <w:rFonts w:ascii="Calibri" w:cs="Calibri" w:eastAsia="Calibri" w:hAnsi="Calibri"/>
          <w:sz w:val="22"/>
          <w:szCs w:val="22"/>
        </w:rPr>
        <w:t xml:space="preserve">Chen, T., y Guestrin, C. (2016). XGBoost: A Scalable Tree Boosting System. En Proceedings of the 22nd ACM SIGKDD International Conference on Knowledge Discovery and Data Mining (pp. 785-794).</w:t>
      </w:r>
    </w:p>
    <w:p>
      <w:pPr>
        <w:spacing w:after="100" w:line="360"/>
        <w:jc w:val="both"/>
      </w:pPr>
      <w:r>
        <w:rPr>
          <w:rFonts w:ascii="Calibri" w:cs="Calibri" w:eastAsia="Calibri" w:hAnsi="Calibri"/>
          <w:sz w:val="22"/>
          <w:szCs w:val="22"/>
        </w:rPr>
        <w:t xml:space="preserve">Duoc UC (2026). Guía del Estudiante Fase 1: Definición Proyecto APT. Asignatura PTY4614 Capstone, Escuela de Informática y Telecomunicaciones.</w:t>
      </w:r>
    </w:p>
    <w:p>
      <w:pPr>
        <w:spacing w:after="100" w:line="360"/>
        <w:jc w:val="both"/>
      </w:pPr>
      <w:r>
        <w:rPr>
          <w:rFonts w:ascii="Calibri" w:cs="Calibri" w:eastAsia="Calibri" w:hAnsi="Calibri"/>
          <w:sz w:val="22"/>
          <w:szCs w:val="22"/>
        </w:rPr>
        <w:t xml:space="preserve">Hyndman, R. J., y Athanasopoulos, G. (2021). Forecasting: Principles and Practice (3.ª ed.). OTexts, Melbourne.</w:t>
      </w:r>
    </w:p>
    <w:p>
      <w:pPr>
        <w:spacing w:after="100" w:line="360"/>
        <w:jc w:val="both"/>
      </w:pPr>
      <w:r>
        <w:rPr>
          <w:rFonts w:ascii="Calibri" w:cs="Calibri" w:eastAsia="Calibri" w:hAnsi="Calibri"/>
          <w:sz w:val="22"/>
          <w:szCs w:val="22"/>
        </w:rPr>
        <w:t xml:space="preserve">Pedregosa, F., Varoquaux, G., Gramfort, A., Michel, V., Thirion, B., Grisel, O., y otros (2011). Scikit-learn: Machine Learning in Python. Journal of Machine Learning Research, 12, 2825-2830.</w:t>
      </w:r>
    </w:p>
    <w:p>
      <w:pPr>
        <w:spacing w:after="100" w:line="360"/>
        <w:jc w:val="both"/>
      </w:pPr>
      <w:r>
        <w:rPr>
          <w:rFonts w:ascii="Calibri" w:cs="Calibri" w:eastAsia="Calibri" w:hAnsi="Calibri"/>
          <w:sz w:val="22"/>
          <w:szCs w:val="22"/>
        </w:rPr>
        <w:t xml:space="preserve">Schwaber, K., y Sutherland, J. (2020). The Scrum Guide: The Definitive Guide to Scrum — The Rules of the Game. Scrum.org.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DealCommerce · Informe Definición Proyecto APT ·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Definición del Proyecto APT — DealCommerce</dc:title>
  <dc:creator>Pedro Santibáñez / Daniel Azócar</dc:creator>
  <cp:lastModifiedBy>Un-named</cp:lastModifiedBy>
  <cp:revision>1</cp:revision>
  <dcterms:created xsi:type="dcterms:W3CDTF">2026-08-31T22:38:42.045Z</dcterms:created>
  <dcterms:modified xsi:type="dcterms:W3CDTF">2026-08-31T22:38:42.045Z</dcterms:modified>
</cp:coreProperties>
</file>

<file path=docProps/custom.xml><?xml version="1.0" encoding="utf-8"?>
<Properties xmlns="http://schemas.openxmlformats.org/officeDocument/2006/custom-properties" xmlns:vt="http://schemas.openxmlformats.org/officeDocument/2006/docPropsVTypes"/>
</file>