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Lab 1 — CTI Report Mapping to MITRE ATT&amp;CK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F5496"/>
          <w:sz w:val="34"/>
          <w:szCs w:val="34"/>
        </w:rPr>
        <w:t xml:space="preserve">Case Study: APT41 — TOUGHPROGRESS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Group Members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Yerus kanaw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Selected CTI Report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Report Title: </w:t>
      </w:r>
      <w:r>
        <w:rPr>
          <w:rFonts w:ascii="Calibri" w:cs="Calibri" w:eastAsia="Calibri" w:hAnsi="Calibri"/>
          <w:sz w:val="26"/>
          <w:szCs w:val="26"/>
        </w:rPr>
        <w:t xml:space="preserve">Mark Your Calendar: APT41 Innovative Tactics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Author: </w:t>
      </w:r>
      <w:r>
        <w:rPr>
          <w:rFonts w:ascii="Calibri" w:cs="Calibri" w:eastAsia="Calibri" w:hAnsi="Calibri"/>
          <w:sz w:val="26"/>
          <w:szCs w:val="26"/>
        </w:rPr>
        <w:t xml:space="preserve">Patrick Whitsell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Organization: </w:t>
      </w:r>
      <w:r>
        <w:rPr>
          <w:rFonts w:ascii="Calibri" w:cs="Calibri" w:eastAsia="Calibri" w:hAnsi="Calibri"/>
          <w:sz w:val="26"/>
          <w:szCs w:val="26"/>
        </w:rPr>
        <w:t xml:space="preserve">Google Threat Intelligence Group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Publication Date: </w:t>
      </w:r>
      <w:r>
        <w:rPr>
          <w:rFonts w:ascii="Calibri" w:cs="Calibri" w:eastAsia="Calibri" w:hAnsi="Calibri"/>
          <w:sz w:val="26"/>
          <w:szCs w:val="26"/>
        </w:rPr>
        <w:t xml:space="preserve">May 28, 2025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Report Link: </w:t>
      </w:r>
      <w:r>
        <w:rPr>
          <w:rFonts w:ascii="Calibri" w:cs="Calibri" w:eastAsia="Calibri" w:hAnsi="Calibri"/>
          <w:sz w:val="26"/>
          <w:szCs w:val="26"/>
        </w:rPr>
        <w:t xml:space="preserve">https://cloud.google.com/blog/topics/threat-intelligence/apt41-innovative-tactics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Short Description of the Attack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The report describes an APT41 cyberattack campaign that used a malicious shortcut file to infect targeted systems. The attack began with a link that led to a ZIP archive hosted on a compromised government website. The archive contained a shortcut file disguised as a PDF document.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When the victim opened the shortcut, it displayed a decoy document while executing malicious code. The attackers used components named PLUSDROP and PLUSINJECT to load additional malware and inject code into the legitimate Windows process svchost.exe.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The final malware, TOUGHPROGRESS, used Google Calendar as a command-and-control channel. This technique allowed the attackers to exchange commands and information through a legitimate online service, making the activity more difficult to distinguish from normal network traffic.</w:t>
      </w:r>
    </w:p>
    <w:p>
      <w:pPr>
        <w:pStyle w:val="Heading1"/>
        <w:pageBreakBefore/>
        <w:pBdr>
          <w:bottom w:val="single" w:color="8EAADB" w:sz="6" w:space="2"/>
        </w:pBdr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Attack Flow Diagram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</w:tblGrid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Target receives a spear-phishing message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Victim follows a malicious link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ZIP archive downloaded from a compromised government website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Malicious shortcut file: .pdf.lnk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Decoy PDF displayed to the victim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PLUSDROP loads the next stage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PLUSINJECT injects code into svchost.exe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TOUGHPROGRESS malware executes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F549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78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5"/>
                <w:szCs w:val="25"/>
              </w:rPr>
              <w:t xml:space="preserve">Google Calendar used for command-and-control</w:t>
            </w:r>
          </w:p>
        </w:tc>
      </w:tr>
    </w:tbl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MITRE ATT&amp;CK Mapping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1 — Spearphishing Link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Tactic: </w:t>
      </w:r>
      <w:r>
        <w:rPr>
          <w:rFonts w:ascii="Calibri" w:cs="Calibri" w:eastAsia="Calibri" w:hAnsi="Calibri"/>
          <w:sz w:val="26"/>
          <w:szCs w:val="26"/>
        </w:rPr>
        <w:t xml:space="preserve">Initial Access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Technique: </w:t>
      </w:r>
      <w:r>
        <w:rPr>
          <w:rFonts w:ascii="Calibri" w:cs="Calibri" w:eastAsia="Calibri" w:hAnsi="Calibri"/>
          <w:sz w:val="26"/>
          <w:szCs w:val="26"/>
        </w:rPr>
        <w:t xml:space="preserve">Phishing: Spearphishing Link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 ID: </w:t>
      </w:r>
      <w:r>
        <w:rPr>
          <w:rFonts w:ascii="Calibri" w:cs="Calibri" w:eastAsia="Calibri" w:hAnsi="Calibri"/>
          <w:sz w:val="26"/>
          <w:szCs w:val="26"/>
        </w:rPr>
        <w:t xml:space="preserve">T1566.002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Evidence from the report: </w:t>
      </w:r>
      <w:r>
        <w:rPr>
          <w:rFonts w:ascii="Calibri" w:cs="Calibri" w:eastAsia="Calibri" w:hAnsi="Calibri"/>
          <w:sz w:val="26"/>
          <w:szCs w:val="26"/>
        </w:rPr>
        <w:t xml:space="preserve">The attack involved a link that led the target to a ZIP archive hosted on a compromised government website.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Justification: </w:t>
      </w:r>
      <w:r>
        <w:rPr>
          <w:rFonts w:ascii="Calibri" w:cs="Calibri" w:eastAsia="Calibri" w:hAnsi="Calibri"/>
          <w:sz w:val="26"/>
          <w:szCs w:val="26"/>
        </w:rPr>
        <w:t xml:space="preserve">The link was used as the delivery mechanism for the malicious archive. This behavior is consistent with spearphishing through a link, as the victim was directed to attacker-controlled or compromised content.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2 — Opening a Malicious Shortcut File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Tactic: </w:t>
      </w:r>
      <w:r>
        <w:rPr>
          <w:rFonts w:ascii="Calibri" w:cs="Calibri" w:eastAsia="Calibri" w:hAnsi="Calibri"/>
          <w:sz w:val="26"/>
          <w:szCs w:val="26"/>
        </w:rPr>
        <w:t xml:space="preserve">Execution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Technique: </w:t>
      </w:r>
      <w:r>
        <w:rPr>
          <w:rFonts w:ascii="Calibri" w:cs="Calibri" w:eastAsia="Calibri" w:hAnsi="Calibri"/>
          <w:sz w:val="26"/>
          <w:szCs w:val="26"/>
        </w:rPr>
        <w:t xml:space="preserve">User Execution: Malicious File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 ID: </w:t>
      </w:r>
      <w:r>
        <w:rPr>
          <w:rFonts w:ascii="Calibri" w:cs="Calibri" w:eastAsia="Calibri" w:hAnsi="Calibri"/>
          <w:sz w:val="26"/>
          <w:szCs w:val="26"/>
        </w:rPr>
        <w:t xml:space="preserve">T1204.002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Evidence from the report: </w:t>
      </w:r>
      <w:r>
        <w:rPr>
          <w:rFonts w:ascii="Calibri" w:cs="Calibri" w:eastAsia="Calibri" w:hAnsi="Calibri"/>
          <w:sz w:val="26"/>
          <w:szCs w:val="26"/>
        </w:rPr>
        <w:t xml:space="preserve">The ZIP archive contained a malicious LNK shortcut file disguised as a PDF document.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Justification: </w:t>
      </w:r>
      <w:r>
        <w:rPr>
          <w:rFonts w:ascii="Calibri" w:cs="Calibri" w:eastAsia="Calibri" w:hAnsi="Calibri"/>
          <w:sz w:val="26"/>
          <w:szCs w:val="26"/>
        </w:rPr>
        <w:t xml:space="preserve">The attack relied on the victim opening the malicious file to initiate the infection chain. This is consistent with the User Execution: Malicious File technique.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3 — Disguising a Shortcut as a PDF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Tactic: </w:t>
      </w:r>
      <w:r>
        <w:rPr>
          <w:rFonts w:ascii="Calibri" w:cs="Calibri" w:eastAsia="Calibri" w:hAnsi="Calibri"/>
          <w:sz w:val="26"/>
          <w:szCs w:val="26"/>
        </w:rPr>
        <w:t xml:space="preserve">Defense Evasion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Technique: </w:t>
      </w:r>
      <w:r>
        <w:rPr>
          <w:rFonts w:ascii="Calibri" w:cs="Calibri" w:eastAsia="Calibri" w:hAnsi="Calibri"/>
          <w:sz w:val="26"/>
          <w:szCs w:val="26"/>
        </w:rPr>
        <w:t xml:space="preserve">Masquerading: Double File Extension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 ID: </w:t>
      </w:r>
      <w:r>
        <w:rPr>
          <w:rFonts w:ascii="Calibri" w:cs="Calibri" w:eastAsia="Calibri" w:hAnsi="Calibri"/>
          <w:sz w:val="26"/>
          <w:szCs w:val="26"/>
        </w:rPr>
        <w:t xml:space="preserve">T1036.007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Evidence from the report: </w:t>
      </w:r>
      <w:r>
        <w:rPr>
          <w:rFonts w:ascii="Calibri" w:cs="Calibri" w:eastAsia="Calibri" w:hAnsi="Calibri"/>
          <w:sz w:val="26"/>
          <w:szCs w:val="26"/>
        </w:rPr>
        <w:t xml:space="preserve">The malicious shortcut filename ended in .pdf.lnk, making it appear to be a PDF document.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Justification: </w:t>
      </w:r>
      <w:r>
        <w:rPr>
          <w:rFonts w:ascii="Calibri" w:cs="Calibri" w:eastAsia="Calibri" w:hAnsi="Calibri"/>
          <w:sz w:val="26"/>
          <w:szCs w:val="26"/>
        </w:rPr>
        <w:t xml:space="preserve">The filename used a PDF extension before the actual LNK extension. This can mislead a user who does not notice the full filename. The exact sub-technique should be confirmed against the report's technical details and the MITRE ATT&amp;CK definition.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4 — Process Hollowing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Tactic: </w:t>
      </w:r>
      <w:r>
        <w:rPr>
          <w:rFonts w:ascii="Calibri" w:cs="Calibri" w:eastAsia="Calibri" w:hAnsi="Calibri"/>
          <w:sz w:val="26"/>
          <w:szCs w:val="26"/>
        </w:rPr>
        <w:t xml:space="preserve">Defense Evasion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Technique: </w:t>
      </w:r>
      <w:r>
        <w:rPr>
          <w:rFonts w:ascii="Calibri" w:cs="Calibri" w:eastAsia="Calibri" w:hAnsi="Calibri"/>
          <w:sz w:val="26"/>
          <w:szCs w:val="26"/>
        </w:rPr>
        <w:t xml:space="preserve">Process Injection: Process Hollowing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 ID: </w:t>
      </w:r>
      <w:r>
        <w:rPr>
          <w:rFonts w:ascii="Calibri" w:cs="Calibri" w:eastAsia="Calibri" w:hAnsi="Calibri"/>
          <w:sz w:val="26"/>
          <w:szCs w:val="26"/>
        </w:rPr>
        <w:t xml:space="preserve">T1055.012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Evidence from the report: </w:t>
      </w:r>
      <w:r>
        <w:rPr>
          <w:rFonts w:ascii="Calibri" w:cs="Calibri" w:eastAsia="Calibri" w:hAnsi="Calibri"/>
          <w:sz w:val="26"/>
          <w:szCs w:val="26"/>
        </w:rPr>
        <w:t xml:space="preserve">The report describes PLUSINJECT injecting malicious code into the legitimate Windows process svchost.exe through process hollowing.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Justification: </w:t>
      </w:r>
      <w:r>
        <w:rPr>
          <w:rFonts w:ascii="Calibri" w:cs="Calibri" w:eastAsia="Calibri" w:hAnsi="Calibri"/>
          <w:sz w:val="26"/>
          <w:szCs w:val="26"/>
        </w:rPr>
        <w:t xml:space="preserve">Process hollowing allows malicious code to execute within the context of a legitimate process. This can make malicious activity harder to identify using basic process-name monitoring alone.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5 — Command-and-Control Through Google Calendar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Tactic: </w:t>
      </w:r>
      <w:r>
        <w:rPr>
          <w:rFonts w:ascii="Calibri" w:cs="Calibri" w:eastAsia="Calibri" w:hAnsi="Calibri"/>
          <w:sz w:val="26"/>
          <w:szCs w:val="26"/>
        </w:rPr>
        <w:t xml:space="preserve">Command and Control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Technique: </w:t>
      </w:r>
      <w:r>
        <w:rPr>
          <w:rFonts w:ascii="Calibri" w:cs="Calibri" w:eastAsia="Calibri" w:hAnsi="Calibri"/>
          <w:sz w:val="26"/>
          <w:szCs w:val="26"/>
        </w:rPr>
        <w:t xml:space="preserve">Web Service: Bidirectional Communication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Technique ID: </w:t>
      </w:r>
      <w:r>
        <w:rPr>
          <w:rFonts w:ascii="Calibri" w:cs="Calibri" w:eastAsia="Calibri" w:hAnsi="Calibri"/>
          <w:sz w:val="26"/>
          <w:szCs w:val="26"/>
        </w:rPr>
        <w:t xml:space="preserve">T1102.002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Evidence from the report: </w:t>
      </w:r>
      <w:r>
        <w:rPr>
          <w:rFonts w:ascii="Calibri" w:cs="Calibri" w:eastAsia="Calibri" w:hAnsi="Calibri"/>
          <w:sz w:val="26"/>
          <w:szCs w:val="26"/>
        </w:rPr>
        <w:t xml:space="preserve">TOUGHPROGRESS used Google Calendar to receive commands and send information.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Justification: </w:t>
      </w:r>
      <w:r>
        <w:rPr>
          <w:rFonts w:ascii="Calibri" w:cs="Calibri" w:eastAsia="Calibri" w:hAnsi="Calibri"/>
          <w:sz w:val="26"/>
          <w:szCs w:val="26"/>
        </w:rPr>
        <w:t xml:space="preserve">The malware used a legitimate web service to exchange data with the attackers. This behavior is consistent with bidirectional communication through a web service and may help the malware blend in with ordinary network activity.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SOC Investigation Notes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1 — Spearphishing Link and Malicious Archive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Relevant telemetry: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Email gateway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Proxy and DNS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Browser download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File creation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Endpoint detection alerts.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1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Identify the original email and extract the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Check whether other users received the same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Determine whether the URL was accessed.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Check whether a ZIP archive was downloaded.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Escalate if the archive or URL is associated with malicious activity.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2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Analyze the archive in an approved, isolated analysis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Extract file hashes and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Search endpoint and network logs for the same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Determine which systems downloaded or opened the archive.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Contain affected systems according to the organization's incident-response procedures.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2 — Malicious LNK File and Process Execution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Relevant telemetry: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Endpoint process-creation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Windows Security Event ID 4688, if process-creation auditing is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Sysmon Event ID 1, if Sysmon is deployed.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File creation and access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EDR process trees and command-line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1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Identify the LNK file and its full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Check the parent process and process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Determine whether the file was opened by a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Look for unusual child processes or suspicious command-line arguments.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Escalate if the shortcut launches unexpected scripts or executables.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2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Collect the file hash and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Examine the shortcut's target and arguments.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Correlate the execution timeline with network connections and downloaded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Search for related files and activity on other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Determine the scope of execution and follow incident-response procedures.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Behavior 3 — Process Hollowing in svchost.exe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Relevant telemetry: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EDR process-injection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Sysmon process-creation events,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Process memory and image-integrity telemetry.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Parent-child process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Unusual network connections from svchost.exe.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1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Identify the process instance and its parent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Check whether the process path and signature are legitimate.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Review alerts involving memory manipulation or process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Check whether the process makes unusual external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Escalate suspicious cases for deeper memory and endpoint analysis.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Tier 2 Investigation: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Examine available memory and EDR telemetry for signs of process hollowing.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Compare the process's in-memory image with its expected executable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Correlate process activity with the suspected PLUSDROP, PLUSINJECT, and TOUGHPROGRESS infection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Search other endpoints for similar process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Preserve relevant evidence and contain affected systems according to the incident response plan.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Uncertain Mapping and Alternative Interpretation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One uncertain mapping is the use of T1036.007 — Masquerading: Double File Extension for the malicious shortcut named with .pdf.lnk.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The filename suggests an attempt to disguise a shortcut as a PDF. However, the filename alone does not fully establish exactly how the file appeared to the victim or whether the observed behavior meets every detail of the specific sub-technique.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Alternative Interpretation: </w:t>
      </w:r>
      <w:r>
        <w:rPr>
          <w:rFonts w:ascii="Calibri" w:cs="Calibri" w:eastAsia="Calibri" w:hAnsi="Calibri"/>
          <w:sz w:val="26"/>
          <w:szCs w:val="26"/>
        </w:rPr>
        <w:t xml:space="preserve">The behavior may be mapped more generally to T1036 — Masquerading if the available evidence supports disguising the file but is insufficient to confirm the more specific sub-technique.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Additional Evidence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The original filename and file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A screenshot or record showing how the filename appeared to the victim.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The file's actual type and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The relevant technical details from the CTI report.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This evidence would help determine whether T1036.007 is the most accurate mapping or whether the broader T1036 technique is better supported.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Conclusion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The APT41 campaign demonstrates how attackers can combine social engineering, malicious shortcut files, process injection, and legitimate cloud services to conduct an intrusion.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Mapping the reported behaviors to MITRE ATT&amp;CK provides a structured way to understand the attack and communicate its techniques to a SOC team. The mapping also helps defenders identify useful telemetry, investigate suspicious events, and develop detection opportunities.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The analysis should remain evidence-based: each technique should be mapped only when the report provides sufficient support, and uncertain mappings should be documented rather than treated as confirmed facts.</w:t>
      </w:r>
    </w:p>
    <w:p>
      <w:pPr>
        <w:pStyle w:val="Heading1"/>
        <w:pBdr>
          <w:bottom w:val="single" w:color="8EAADB" w:sz="6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References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Primary CTI Report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Whitsell, P. (May 28, 2025). Mark Your Calendar: APT41 Innovative Tactics. Google Threat Intelligence Group.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https://cloud.google.com/blog/topics/threat-intelligence/apt41-innovative-tactics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MITRE ATT&amp;CK References</w:t>
      </w:r>
    </w:p>
    <w:p>
      <w:pPr>
        <w:spacing w:after="0"/>
      </w:pPr>
      <w:r>
        <w:rPr>
          <w:rFonts w:ascii="Calibri" w:cs="Calibri" w:eastAsia="Calibri" w:hAnsi="Calibri"/>
          <w:sz w:val="26"/>
          <w:szCs w:val="26"/>
        </w:rPr>
        <w:t xml:space="preserve">Phishing: Spearphishing Link — T1566.002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https://attack.mitre.org/techniques/T1566/002/</w:t>
      </w:r>
    </w:p>
    <w:p>
      <w:pPr>
        <w:spacing w:after="0"/>
      </w:pPr>
      <w:r>
        <w:rPr>
          <w:rFonts w:ascii="Calibri" w:cs="Calibri" w:eastAsia="Calibri" w:hAnsi="Calibri"/>
          <w:sz w:val="26"/>
          <w:szCs w:val="26"/>
        </w:rPr>
        <w:t xml:space="preserve">User Execution: Malicious File — T1204.002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https://attack.mitre.org/techniques/T1204/002/</w:t>
      </w:r>
    </w:p>
    <w:p>
      <w:pPr>
        <w:spacing w:after="0"/>
      </w:pPr>
      <w:r>
        <w:rPr>
          <w:rFonts w:ascii="Calibri" w:cs="Calibri" w:eastAsia="Calibri" w:hAnsi="Calibri"/>
          <w:sz w:val="26"/>
          <w:szCs w:val="26"/>
        </w:rPr>
        <w:t xml:space="preserve">Masquerading: Double File Extension — T1036.007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https://attack.mitre.org/techniques/T1036/007/</w:t>
      </w:r>
    </w:p>
    <w:p>
      <w:pPr>
        <w:spacing w:after="0"/>
      </w:pPr>
      <w:r>
        <w:rPr>
          <w:rFonts w:ascii="Calibri" w:cs="Calibri" w:eastAsia="Calibri" w:hAnsi="Calibri"/>
          <w:sz w:val="26"/>
          <w:szCs w:val="26"/>
        </w:rPr>
        <w:t xml:space="preserve">Process Injection: Process Hollowing — T1055.012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https://attack.mitre.org/techniques/T1055/012/</w:t>
      </w:r>
    </w:p>
    <w:p>
      <w:pPr>
        <w:spacing w:after="0"/>
      </w:pPr>
      <w:r>
        <w:rPr>
          <w:rFonts w:ascii="Calibri" w:cs="Calibri" w:eastAsia="Calibri" w:hAnsi="Calibri"/>
          <w:sz w:val="26"/>
          <w:szCs w:val="26"/>
        </w:rPr>
        <w:t xml:space="preserve">Web Service: Bidirectional Communication — T1102.002</w:t>
      </w:r>
    </w:p>
    <w:p>
      <w:pPr>
        <w:spacing w:after="120"/>
      </w:pPr>
      <w:r>
        <w:rPr>
          <w:rFonts w:ascii="Calibri" w:cs="Calibri" w:eastAsia="Calibri" w:hAnsi="Calibri"/>
          <w:sz w:val="26"/>
          <w:szCs w:val="26"/>
        </w:rPr>
        <w:t xml:space="preserve">https://attack.mitre.org/techniques/T1102/002/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2026-10-19T09:11:06.275Z</dcterms:created>
  <dcterms:modified xsi:type="dcterms:W3CDTF">2026-10-19T09:11:06.275Z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