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Yes Advizors Portal V2 — Product Readiness, UAT and SOP Package</w:t>
      </w:r>
    </w:p>
    <w:p>
      <w:pPr>
        <w:pStyle w:val="Subtitle"/>
      </w:pPr>
      <w:r>
        <w:t xml:space="preserve">Revision 1.5 — Correction-Only Revision (Clean-Build Dependency Installation + Checksum-Verifier Label)</w:t>
      </w:r>
    </w:p>
    <w:p>
      <w:pPr>
        <w:pStyle w:val="Heading2"/>
      </w:pPr>
      <w:r>
        <w:t xml:space="preserve">Package: YAV2_Portal_Product_Readiness_UAT_and_SOP_Package_Rev1.5</w:t>
      </w:r>
    </w:p>
    <w:p>
      <w:pPr>
        <w:pStyle w:val="Normal"/>
      </w:pPr>
      <w:r>
        <w:t xml:space="preserve">Revision: Rev1.5</w:t>
      </w:r>
    </w:p>
    <w:p>
      <w:pPr>
        <w:pStyle w:val="Normal"/>
      </w:pPr>
      <w:r>
        <w:t xml:space="preserve">Business owner / final approver: PJ / Pankaj Joshi (business owner and final approver)</w:t>
      </w:r>
    </w:p>
    <w:p>
      <w:pPr>
        <w:pStyle w:val="Normal"/>
      </w:pPr>
      <w:r>
        <w:t xml:space="preserve">Prepared by: Claude.ai (product documentation, UAT, SOP, readiness packaging and validation)</w:t>
      </w:r>
    </w:p>
    <w:p/>
    <w:p>
      <w:pPr>
        <w:pStyle w:val="Heading1"/>
      </w:pPr>
      <w:r>
        <w:t xml:space="preserve">1. Governance, Ownership and Authority</w:t>
      </w:r>
    </w:p>
    <w:p>
      <w:pPr>
        <w:pStyle w:val="Heading2"/>
      </w:pPr>
      <w:r>
        <w:t xml:space="preserve">Role separation</w:t>
      </w:r>
    </w:p>
    <w:p>
      <w:pPr>
        <w:pStyle w:val="ListParagraph"/>
        <w:numPr>
          <w:ilvl w:val="0"/>
          <w:numId w:val="1"/>
        </w:numPr>
      </w:pPr>
      <w:r>
        <w:t xml:space="preserve">PJ / Pankaj Joshi = business owner and final approver.</w:t>
      </w:r>
    </w:p>
    <w:p>
      <w:pPr>
        <w:pStyle w:val="ListParagraph"/>
        <w:numPr>
          <w:ilvl w:val="0"/>
          <w:numId w:val="1"/>
        </w:numPr>
      </w:pPr>
      <w:r>
        <w:t xml:space="preserve">Claude.ai = product documentation, UAT, SOP, readiness packaging and validation.</w:t>
      </w:r>
    </w:p>
    <w:p>
      <w:pPr>
        <w:pStyle w:val="ListParagraph"/>
        <w:numPr>
          <w:ilvl w:val="0"/>
          <w:numId w:val="1"/>
        </w:numPr>
      </w:pPr>
      <w:r>
        <w:t xml:space="preserve">Claude Code = technical engineering, SQL, code, migrations and controlled execution packages.</w:t>
      </w:r>
    </w:p>
    <w:p>
      <w:pPr>
        <w:pStyle w:val="ListParagraph"/>
        <w:numPr>
          <w:ilvl w:val="0"/>
          <w:numId w:val="1"/>
        </w:numPr>
      </w:pPr>
      <w:r>
        <w:t xml:space="preserve">ChatGPT = independent reviewer and approval gate.</w:t>
      </w:r>
    </w:p>
    <w:p>
      <w:pPr>
        <w:pStyle w:val="Heading2"/>
      </w:pPr>
      <w:r>
        <w:t xml:space="preserve">Authority state</w:t>
      </w:r>
    </w:p>
    <w:p>
      <w:pPr>
        <w:pStyle w:val="ListParagraph"/>
        <w:numPr>
          <w:ilvl w:val="0"/>
          <w:numId w:val="1"/>
        </w:numPr>
      </w:pPr>
      <w:r>
        <w:t xml:space="preserve">PRODUCT_OPS_ALIGNMENT_REV1.1: GOVERNING_FINAL / APPROVED_DOCUMENTATION_ONLY</w:t>
      </w:r>
    </w:p>
    <w:p>
      <w:pPr>
        <w:pStyle w:val="ListParagraph"/>
        <w:numPr>
          <w:ilvl w:val="0"/>
          <w:numId w:val="1"/>
        </w:numPr>
      </w:pPr>
      <w:r>
        <w:t xml:space="preserve">CURRENT_LIVE_AUTHORITY: NONE</w:t>
      </w:r>
    </w:p>
    <w:p>
      <w:pPr>
        <w:pStyle w:val="ListParagraph"/>
        <w:numPr>
          <w:ilvl w:val="0"/>
          <w:numId w:val="1"/>
        </w:numPr>
      </w:pPr>
      <w:r>
        <w:t xml:space="preserve">EXECUTION_ATTEMPTS_AUTHORISED: ZERO</w:t>
      </w:r>
    </w:p>
    <w:p>
      <w:pPr>
        <w:pStyle w:val="ListParagraph"/>
        <w:numPr>
          <w:ilvl w:val="0"/>
          <w:numId w:val="1"/>
        </w:numPr>
      </w:pPr>
      <w:r>
        <w:t xml:space="preserve">IMPLEMENTATION_AUTHORITY: NONE</w:t>
      </w:r>
    </w:p>
    <w:p>
      <w:pPr>
        <w:pStyle w:val="ListParagraph"/>
        <w:numPr>
          <w:ilvl w:val="0"/>
          <w:numId w:val="1"/>
        </w:numPr>
      </w:pPr>
      <w:r>
        <w:t xml:space="preserve">V1_ACCESS: PROHIBITED</w:t>
      </w:r>
    </w:p>
    <w:p>
      <w:pPr>
        <w:pStyle w:val="ListParagraph"/>
        <w:numPr>
          <w:ilvl w:val="0"/>
          <w:numId w:val="1"/>
        </w:numPr>
      </w:pPr>
      <w:r>
        <w:t xml:space="preserve">CEP_REV1.6_STATUS: PAUSED PENDING CLAUDE CODE AVAILABILITY</w:t>
      </w:r>
    </w:p>
    <w:p>
      <w:pPr>
        <w:pStyle w:val="ListParagraph"/>
        <w:numPr>
          <w:ilvl w:val="0"/>
          <w:numId w:val="1"/>
        </w:numPr>
      </w:pPr>
      <w:r>
        <w:t xml:space="preserve">PACKAGE_STATUS: CURRENT_WORKING / NOT_YET_APPROVED</w:t>
      </w:r>
    </w:p>
    <w:p>
      <w:pPr>
        <w:pStyle w:val="ListParagraph"/>
        <w:numPr>
          <w:ilvl w:val="0"/>
          <w:numId w:val="1"/>
        </w:numPr>
      </w:pPr>
      <w:r>
        <w:t xml:space="preserve">PJ_APPROVAL_STATUS: NOT_REQUESTED</w:t>
      </w:r>
    </w:p>
    <w:p>
      <w:pPr>
        <w:pStyle w:val="ListParagraph"/>
        <w:numPr>
          <w:ilvl w:val="0"/>
          <w:numId w:val="1"/>
        </w:numPr>
      </w:pPr>
      <w:r>
        <w:t xml:space="preserve">NEXT_REQUIRED_GATE: CHATGPT INDEPENDENT REVIEW OF PRODUCT READINESS UAT AND SOP PACKAGE REV1.5</w:t>
      </w:r>
    </w:p>
    <w:p>
      <w:pPr>
        <w:pStyle w:val="Normal"/>
      </w:pPr>
      <w:r>
        <w:t xml:space="preserve">Rev1.5 is a documentation/readiness package only. It introduces no live, implementation or execution authority and resolves no PJ decision. No Claude Code technical artefact is modified.</w:t>
      </w:r>
    </w:p>
    <w:p/>
    <w:p>
      <w:pPr>
        <w:pStyle w:val="Heading1"/>
      </w:pPr>
      <w:r>
        <w:t xml:space="preserve">2. Readiness Model</w:t>
      </w:r>
    </w:p>
    <w:p>
      <w:pPr>
        <w:pStyle w:val="Normal"/>
      </w:pPr>
      <w:r>
        <w:t xml:space="preserve">Classes: READY, READY_WITH_CONDITIONS, NOT_READY, DOCUMENTATION_ONLY</w:t>
      </w:r>
    </w:p>
    <w:p>
      <w:pPr>
        <w:pStyle w:val="Normal"/>
      </w:pPr>
      <w:r>
        <w:t xml:space="preserve">Overall: DOCUMENTATION_READINESS_ESTABLISHED / SUBJECT_TO_OPEN_PJ_DECISIONS_AND_INDEPENDENT_REVIEW</w:t>
      </w:r>
    </w:p>
    <w:p>
      <w:pPr>
        <w:pStyle w:val="Normal"/>
      </w:pPr>
      <w:r>
        <w:t xml:space="preserve">Readiness is a documentation-level assessment only; it does not authorise implementation, deployment or V1 access.</w:t>
      </w:r>
    </w:p>
    <w:p/>
    <w:p>
      <w:pPr>
        <w:pStyle w:val="Heading1"/>
      </w:pPr>
      <w:r>
        <w:t xml:space="preserve">3. Module Catalogue (15 Modules)</w:t>
      </w:r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00"/>
        <w:gridCol w:w="2300"/>
        <w:gridCol w:w="4800"/>
        <w:gridCol w:w="1800"/>
      </w:tblGrid>
      <w:tr>
        <w:trPr>
          <w:tblHeader/>
        </w:trPr>
        <w:tc>
          <w:tcPr>
            <w:tcW w:w="700" w:type="dxa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300" w:type="dxa"/>
          </w:tcPr>
          <w:p>
            <w:r>
              <w:rPr>
                <w:b/>
              </w:rPr>
              <w:t xml:space="preserve">Module</w:t>
            </w:r>
          </w:p>
        </w:tc>
        <w:tc>
          <w:tcPr>
            <w:tcW w:w="4800" w:type="dxa"/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Readiness</w:t>
            </w:r>
          </w:p>
        </w:tc>
      </w:tr>
      <w:tr>
        <w:tc>
          <w:tcPr>
            <w:tcW w:w="700" w:type="dxa"/>
          </w:tcPr>
          <w:p>
            <w:r>
              <w:t xml:space="preserve">M01</w:t>
            </w:r>
          </w:p>
        </w:tc>
        <w:tc>
          <w:tcPr>
            <w:tcW w:w="2300" w:type="dxa"/>
          </w:tcPr>
          <w:p>
            <w:r>
              <w:t xml:space="preserve">Authentication &amp; Access</w:t>
            </w:r>
          </w:p>
        </w:tc>
        <w:tc>
          <w:tcPr>
            <w:tcW w:w="4800" w:type="dxa"/>
          </w:tcPr>
          <w:p>
            <w:r>
              <w:t xml:space="preserve">Email/OTP login, session handling and role-based access for firm staff and clients.</w:t>
            </w:r>
          </w:p>
        </w:tc>
        <w:tc>
          <w:tcPr>
            <w:tcW w:w="1800" w:type="dxa"/>
          </w:tcPr>
          <w:p>
            <w:r>
              <w:t xml:space="preserve">READY</w:t>
            </w:r>
          </w:p>
        </w:tc>
      </w:tr>
      <w:tr>
        <w:tc>
          <w:tcPr>
            <w:tcW w:w="700" w:type="dxa"/>
          </w:tcPr>
          <w:p>
            <w:r>
              <w:t xml:space="preserve">M02</w:t>
            </w:r>
          </w:p>
        </w:tc>
        <w:tc>
          <w:tcPr>
            <w:tcW w:w="2300" w:type="dxa"/>
          </w:tcPr>
          <w:p>
            <w:r>
              <w:t xml:space="preserve">Client Onboarding</w:t>
            </w:r>
          </w:p>
        </w:tc>
        <w:tc>
          <w:tcPr>
            <w:tcW w:w="4800" w:type="dxa"/>
          </w:tcPr>
          <w:p>
            <w:r>
              <w:t xml:space="preserve">Capture of new client/entity particulars, KYC inputs and engagement initiation.</w:t>
            </w:r>
          </w:p>
        </w:tc>
        <w:tc>
          <w:tcPr>
            <w:tcW w:w="1800" w:type="dxa"/>
          </w:tcPr>
          <w:p>
            <w:r>
              <w:t xml:space="preserve">READY_WITH_CONDITIONS</w:t>
            </w:r>
          </w:p>
        </w:tc>
      </w:tr>
      <w:tr>
        <w:tc>
          <w:tcPr>
            <w:tcW w:w="700" w:type="dxa"/>
          </w:tcPr>
          <w:p>
            <w:r>
              <w:t xml:space="preserve">M03</w:t>
            </w:r>
          </w:p>
        </w:tc>
        <w:tc>
          <w:tcPr>
            <w:tcW w:w="2300" w:type="dxa"/>
          </w:tcPr>
          <w:p>
            <w:r>
              <w:t xml:space="preserve">Company Master / Entity Profile</w:t>
            </w:r>
          </w:p>
        </w:tc>
        <w:tc>
          <w:tcPr>
            <w:tcW w:w="4800" w:type="dxa"/>
          </w:tcPr>
          <w:p>
            <w:r>
              <w:t xml:space="preserve">Authoritative entity record: PAN, CIN, GSTIN, incorporation and contact data.</w:t>
            </w:r>
          </w:p>
        </w:tc>
        <w:tc>
          <w:tcPr>
            <w:tcW w:w="1800" w:type="dxa"/>
          </w:tcPr>
          <w:p>
            <w:r>
              <w:t xml:space="preserve">READY</w:t>
            </w:r>
          </w:p>
        </w:tc>
      </w:tr>
      <w:tr>
        <w:tc>
          <w:tcPr>
            <w:tcW w:w="700" w:type="dxa"/>
          </w:tcPr>
          <w:p>
            <w:r>
              <w:t xml:space="preserve">M04</w:t>
            </w:r>
          </w:p>
        </w:tc>
        <w:tc>
          <w:tcPr>
            <w:tcW w:w="2300" w:type="dxa"/>
          </w:tcPr>
          <w:p>
            <w:r>
              <w:t xml:space="preserve">Document Vault</w:t>
            </w:r>
          </w:p>
        </w:tc>
        <w:tc>
          <w:tcPr>
            <w:tcW w:w="4800" w:type="dxa"/>
          </w:tcPr>
          <w:p>
            <w:r>
              <w:t xml:space="preserve">Secure upload, categorisation and retrieval of client documents and deliverables.</w:t>
            </w:r>
          </w:p>
        </w:tc>
        <w:tc>
          <w:tcPr>
            <w:tcW w:w="1800" w:type="dxa"/>
          </w:tcPr>
          <w:p>
            <w:r>
              <w:t xml:space="preserve">READY_WITH_CONDITIONS</w:t>
            </w:r>
          </w:p>
        </w:tc>
      </w:tr>
      <w:tr>
        <w:tc>
          <w:tcPr>
            <w:tcW w:w="700" w:type="dxa"/>
          </w:tcPr>
          <w:p>
            <w:r>
              <w:t xml:space="preserve">M05</w:t>
            </w:r>
          </w:p>
        </w:tc>
        <w:tc>
          <w:tcPr>
            <w:tcW w:w="2300" w:type="dxa"/>
          </w:tcPr>
          <w:p>
            <w:r>
              <w:t xml:space="preserve">Compliance Calendar</w:t>
            </w:r>
          </w:p>
        </w:tc>
        <w:tc>
          <w:tcPr>
            <w:tcW w:w="4800" w:type="dxa"/>
          </w:tcPr>
          <w:p>
            <w:r>
              <w:t xml:space="preserve">Statutory due-date tracking across GST, Income Tax and ROC obligations.</w:t>
            </w:r>
          </w:p>
        </w:tc>
        <w:tc>
          <w:tcPr>
            <w:tcW w:w="1800" w:type="dxa"/>
          </w:tcPr>
          <w:p>
            <w:r>
              <w:t xml:space="preserve">READY</w:t>
            </w:r>
          </w:p>
        </w:tc>
      </w:tr>
      <w:tr>
        <w:tc>
          <w:tcPr>
            <w:tcW w:w="700" w:type="dxa"/>
          </w:tcPr>
          <w:p>
            <w:r>
              <w:t xml:space="preserve">M06</w:t>
            </w:r>
          </w:p>
        </w:tc>
        <w:tc>
          <w:tcPr>
            <w:tcW w:w="2300" w:type="dxa"/>
          </w:tcPr>
          <w:p>
            <w:r>
              <w:t xml:space="preserve">Task &amp; Workflow Management</w:t>
            </w:r>
          </w:p>
        </w:tc>
        <w:tc>
          <w:tcPr>
            <w:tcW w:w="4800" w:type="dxa"/>
          </w:tcPr>
          <w:p>
            <w:r>
              <w:t xml:space="preserve">Assignment, status progression and review of internal engagement tasks.</w:t>
            </w:r>
          </w:p>
        </w:tc>
        <w:tc>
          <w:tcPr>
            <w:tcW w:w="1800" w:type="dxa"/>
          </w:tcPr>
          <w:p>
            <w:r>
              <w:t xml:space="preserve">READY</w:t>
            </w:r>
          </w:p>
        </w:tc>
      </w:tr>
      <w:tr>
        <w:tc>
          <w:tcPr>
            <w:tcW w:w="700" w:type="dxa"/>
          </w:tcPr>
          <w:p>
            <w:r>
              <w:t xml:space="preserve">M07</w:t>
            </w:r>
          </w:p>
        </w:tc>
        <w:tc>
          <w:tcPr>
            <w:tcW w:w="2300" w:type="dxa"/>
          </w:tcPr>
          <w:p>
            <w:r>
              <w:t xml:space="preserve">Engagement &amp; Billing</w:t>
            </w:r>
          </w:p>
        </w:tc>
        <w:tc>
          <w:tcPr>
            <w:tcW w:w="4800" w:type="dxa"/>
          </w:tcPr>
          <w:p>
            <w:r>
              <w:t xml:space="preserve">Engagement letters, fee schedules and invoice tracking (no payment gateway).</w:t>
            </w:r>
          </w:p>
        </w:tc>
        <w:tc>
          <w:tcPr>
            <w:tcW w:w="1800" w:type="dxa"/>
          </w:tcPr>
          <w:p>
            <w:r>
              <w:t xml:space="preserve">READY_WITH_CONDITIONS</w:t>
            </w:r>
          </w:p>
        </w:tc>
      </w:tr>
      <w:tr>
        <w:tc>
          <w:tcPr>
            <w:tcW w:w="700" w:type="dxa"/>
          </w:tcPr>
          <w:p>
            <w:r>
              <w:t xml:space="preserve">M08</w:t>
            </w:r>
          </w:p>
        </w:tc>
        <w:tc>
          <w:tcPr>
            <w:tcW w:w="2300" w:type="dxa"/>
          </w:tcPr>
          <w:p>
            <w:r>
              <w:t xml:space="preserve">Financial Statements Review</w:t>
            </w:r>
          </w:p>
        </w:tc>
        <w:tc>
          <w:tcPr>
            <w:tcW w:w="4800" w:type="dxa"/>
          </w:tcPr>
          <w:p>
            <w:r>
              <w:t xml:space="preserve">Review workspace for draft financials, schedules and review notes.</w:t>
            </w:r>
          </w:p>
        </w:tc>
        <w:tc>
          <w:tcPr>
            <w:tcW w:w="1800" w:type="dxa"/>
          </w:tcPr>
          <w:p>
            <w:r>
              <w:t xml:space="preserve">READY_WITH_CONDITIONS</w:t>
            </w:r>
          </w:p>
        </w:tc>
      </w:tr>
      <w:tr>
        <w:tc>
          <w:tcPr>
            <w:tcW w:w="700" w:type="dxa"/>
          </w:tcPr>
          <w:p>
            <w:r>
              <w:t xml:space="preserve">M09</w:t>
            </w:r>
          </w:p>
        </w:tc>
        <w:tc>
          <w:tcPr>
            <w:tcW w:w="2300" w:type="dxa"/>
          </w:tcPr>
          <w:p>
            <w:r>
              <w:t xml:space="preserve">GST Filing Tracker</w:t>
            </w:r>
          </w:p>
        </w:tc>
        <w:tc>
          <w:tcPr>
            <w:tcW w:w="4800" w:type="dxa"/>
          </w:tcPr>
          <w:p>
            <w:r>
              <w:t xml:space="preserve">Period-wise GST return preparation status and filing acknowledgement records.</w:t>
            </w:r>
          </w:p>
        </w:tc>
        <w:tc>
          <w:tcPr>
            <w:tcW w:w="1800" w:type="dxa"/>
          </w:tcPr>
          <w:p>
            <w:r>
              <w:t xml:space="preserve">READY</w:t>
            </w:r>
          </w:p>
        </w:tc>
      </w:tr>
      <w:tr>
        <w:tc>
          <w:tcPr>
            <w:tcW w:w="700" w:type="dxa"/>
          </w:tcPr>
          <w:p>
            <w:r>
              <w:t xml:space="preserve">M10</w:t>
            </w:r>
          </w:p>
        </w:tc>
        <w:tc>
          <w:tcPr>
            <w:tcW w:w="2300" w:type="dxa"/>
          </w:tcPr>
          <w:p>
            <w:r>
              <w:t xml:space="preserve">Income Tax Filing Tracker</w:t>
            </w:r>
          </w:p>
        </w:tc>
        <w:tc>
          <w:tcPr>
            <w:tcW w:w="4800" w:type="dxa"/>
          </w:tcPr>
          <w:p>
            <w:r>
              <w:t xml:space="preserve">ITR preparation status, computation references and filing acknowledgements.</w:t>
            </w:r>
          </w:p>
        </w:tc>
        <w:tc>
          <w:tcPr>
            <w:tcW w:w="1800" w:type="dxa"/>
          </w:tcPr>
          <w:p>
            <w:r>
              <w:t xml:space="preserve">READY</w:t>
            </w:r>
          </w:p>
        </w:tc>
      </w:tr>
      <w:tr>
        <w:tc>
          <w:tcPr>
            <w:tcW w:w="700" w:type="dxa"/>
          </w:tcPr>
          <w:p>
            <w:r>
              <w:t xml:space="preserve">M11</w:t>
            </w:r>
          </w:p>
        </w:tc>
        <w:tc>
          <w:tcPr>
            <w:tcW w:w="2300" w:type="dxa"/>
          </w:tcPr>
          <w:p>
            <w:r>
              <w:t xml:space="preserve">ROC / MCA Compliance</w:t>
            </w:r>
          </w:p>
        </w:tc>
        <w:tc>
          <w:tcPr>
            <w:tcW w:w="4800" w:type="dxa"/>
          </w:tcPr>
          <w:p>
            <w:r>
              <w:t xml:space="preserve">Annual filing and event-based ROC compliance tracking for companies/LLPs.</w:t>
            </w:r>
          </w:p>
        </w:tc>
        <w:tc>
          <w:tcPr>
            <w:tcW w:w="1800" w:type="dxa"/>
          </w:tcPr>
          <w:p>
            <w:r>
              <w:t xml:space="preserve">READY_WITH_CONDITIONS</w:t>
            </w:r>
          </w:p>
        </w:tc>
      </w:tr>
      <w:tr>
        <w:tc>
          <w:tcPr>
            <w:tcW w:w="700" w:type="dxa"/>
          </w:tcPr>
          <w:p>
            <w:r>
              <w:t xml:space="preserve">M12</w:t>
            </w:r>
          </w:p>
        </w:tc>
        <w:tc>
          <w:tcPr>
            <w:tcW w:w="2300" w:type="dxa"/>
          </w:tcPr>
          <w:p>
            <w:r>
              <w:t xml:space="preserve">Notifications &amp; Alerts</w:t>
            </w:r>
          </w:p>
        </w:tc>
        <w:tc>
          <w:tcPr>
            <w:tcW w:w="4800" w:type="dxa"/>
          </w:tcPr>
          <w:p>
            <w:r>
              <w:t xml:space="preserve">In-app and email notifications for due dates, assignments and approvals.</w:t>
            </w:r>
          </w:p>
        </w:tc>
        <w:tc>
          <w:tcPr>
            <w:tcW w:w="1800" w:type="dxa"/>
          </w:tcPr>
          <w:p>
            <w:r>
              <w:t xml:space="preserve">READY</w:t>
            </w:r>
          </w:p>
        </w:tc>
      </w:tr>
      <w:tr>
        <w:tc>
          <w:tcPr>
            <w:tcW w:w="700" w:type="dxa"/>
          </w:tcPr>
          <w:p>
            <w:r>
              <w:t xml:space="preserve">M13</w:t>
            </w:r>
          </w:p>
        </w:tc>
        <w:tc>
          <w:tcPr>
            <w:tcW w:w="2300" w:type="dxa"/>
          </w:tcPr>
          <w:p>
            <w:r>
              <w:t xml:space="preserve">Reports &amp; Dashboards</w:t>
            </w:r>
          </w:p>
        </w:tc>
        <w:tc>
          <w:tcPr>
            <w:tcW w:w="4800" w:type="dxa"/>
          </w:tcPr>
          <w:p>
            <w:r>
              <w:t xml:space="preserve">Firm-level and client-level read-only summary dashboards and exports.</w:t>
            </w:r>
          </w:p>
        </w:tc>
        <w:tc>
          <w:tcPr>
            <w:tcW w:w="1800" w:type="dxa"/>
          </w:tcPr>
          <w:p>
            <w:r>
              <w:t xml:space="preserve">READY</w:t>
            </w:r>
          </w:p>
        </w:tc>
      </w:tr>
      <w:tr>
        <w:tc>
          <w:tcPr>
            <w:tcW w:w="700" w:type="dxa"/>
          </w:tcPr>
          <w:p>
            <w:r>
              <w:t xml:space="preserve">M14</w:t>
            </w:r>
          </w:p>
        </w:tc>
        <w:tc>
          <w:tcPr>
            <w:tcW w:w="2300" w:type="dxa"/>
          </w:tcPr>
          <w:p>
            <w:r>
              <w:t xml:space="preserve">Audit Log / Activity Trail</w:t>
            </w:r>
          </w:p>
        </w:tc>
        <w:tc>
          <w:tcPr>
            <w:tcW w:w="4800" w:type="dxa"/>
          </w:tcPr>
          <w:p>
            <w:r>
              <w:t xml:space="preserve">Immutable activity record of user actions for governance and review.</w:t>
            </w:r>
          </w:p>
        </w:tc>
        <w:tc>
          <w:tcPr>
            <w:tcW w:w="1800" w:type="dxa"/>
          </w:tcPr>
          <w:p>
            <w:r>
              <w:t xml:space="preserve">READY</w:t>
            </w:r>
          </w:p>
        </w:tc>
      </w:tr>
      <w:tr>
        <w:tc>
          <w:tcPr>
            <w:tcW w:w="700" w:type="dxa"/>
          </w:tcPr>
          <w:p>
            <w:r>
              <w:t xml:space="preserve">M15</w:t>
            </w:r>
          </w:p>
        </w:tc>
        <w:tc>
          <w:tcPr>
            <w:tcW w:w="2300" w:type="dxa"/>
          </w:tcPr>
          <w:p>
            <w:r>
              <w:t xml:space="preserve">Admin &amp; Configuration</w:t>
            </w:r>
          </w:p>
        </w:tc>
        <w:tc>
          <w:tcPr>
            <w:tcW w:w="4800" w:type="dxa"/>
          </w:tcPr>
          <w:p>
            <w:r>
              <w:t xml:space="preserve">Master data, role configuration and reference-list administration.</w:t>
            </w:r>
          </w:p>
        </w:tc>
        <w:tc>
          <w:tcPr>
            <w:tcW w:w="1800" w:type="dxa"/>
          </w:tcPr>
          <w:p>
            <w:r>
              <w:t xml:space="preserve">READY_WITH_CONDITIONS</w:t>
            </w:r>
          </w:p>
        </w:tc>
      </w:tr>
    </w:tbl>
    <w:p/>
    <w:p>
      <w:pPr>
        <w:pStyle w:val="Heading1"/>
      </w:pPr>
      <w:r>
        <w:t xml:space="preserve">4. User Acceptance Test Cases (70 Cases)</w:t>
      </w:r>
    </w:p>
    <w:p>
      <w:pPr>
        <w:pStyle w:val="Normal"/>
      </w:pPr>
      <w:r>
        <w:t xml:space="preserve">Coverage includes a positive case and an empty-state case for every one of the 15 modules, plus validation, negative, boundary and permission cases.</w:t>
      </w:r>
    </w:p>
    <w:tbl>
      <w:tblPr>
        <w:tblW w:w="99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00"/>
        <w:gridCol w:w="700"/>
        <w:gridCol w:w="1100"/>
        <w:gridCol w:w="3600"/>
        <w:gridCol w:w="2700"/>
        <w:gridCol w:w="900"/>
      </w:tblGrid>
      <w:tr>
        <w:trPr>
          <w:tblHeader/>
        </w:trPr>
        <w:tc>
          <w:tcPr>
            <w:tcW w:w="900" w:type="dxa"/>
          </w:tcPr>
          <w:p>
            <w:r>
              <w:rPr>
                <w:b/>
              </w:rPr>
              <w:t xml:space="preserve">UAT ID</w:t>
            </w:r>
          </w:p>
        </w:tc>
        <w:tc>
          <w:tcPr>
            <w:tcW w:w="700" w:type="dxa"/>
          </w:tcPr>
          <w:p>
            <w:r>
              <w:rPr>
                <w:b/>
              </w:rPr>
              <w:t xml:space="preserve">Module</w:t>
            </w:r>
          </w:p>
        </w:tc>
        <w:tc>
          <w:tcPr>
            <w:tcW w:w="11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600" w:type="dxa"/>
          </w:tcPr>
          <w:p>
            <w:r>
              <w:rPr>
                <w:b/>
              </w:rPr>
              <w:t xml:space="preserve">Title / Scenario</w:t>
            </w:r>
          </w:p>
        </w:tc>
        <w:tc>
          <w:tcPr>
            <w:tcW w:w="2700" w:type="dxa"/>
          </w:tcPr>
          <w:p>
            <w:r>
              <w:rPr>
                <w:b/>
              </w:rPr>
              <w:t xml:space="preserve">Expected Result</w:t>
            </w:r>
          </w:p>
        </w:tc>
        <w:tc>
          <w:tcPr>
            <w:tcW w:w="900" w:type="dxa"/>
          </w:tcPr>
          <w:p>
            <w:r>
              <w:rPr>
                <w:b/>
              </w:rPr>
              <w:t xml:space="preserve">Priority</w:t>
            </w:r>
          </w:p>
        </w:tc>
      </w:tr>
      <w:tr>
        <w:tc>
          <w:tcPr>
            <w:tcW w:w="900" w:type="dxa"/>
          </w:tcPr>
          <w:p>
            <w:r>
              <w:t xml:space="preserve">UAT-001</w:t>
            </w:r>
          </w:p>
        </w:tc>
        <w:tc>
          <w:tcPr>
            <w:tcW w:w="700" w:type="dxa"/>
          </w:tcPr>
          <w:p>
            <w:r>
              <w:t xml:space="preserve">M01</w:t>
            </w:r>
          </w:p>
        </w:tc>
        <w:tc>
          <w:tcPr>
            <w:tcW w:w="1100" w:type="dxa"/>
          </w:tcPr>
          <w:p>
            <w:r>
              <w:t xml:space="preserve">Positive</w:t>
            </w:r>
          </w:p>
        </w:tc>
        <w:tc>
          <w:tcPr>
            <w:tcW w:w="3600" w:type="dxa"/>
          </w:tcPr>
          <w:p>
            <w:r>
              <w:t xml:space="preserve">Valid credentials with correct OTP grant access to the role-appropriate dashboard.</w:t>
            </w:r>
          </w:p>
        </w:tc>
        <w:tc>
          <w:tcPr>
            <w:tcW w:w="2700" w:type="dxa"/>
          </w:tcPr>
          <w:p>
            <w:r>
              <w:t xml:space="preserve">Action succeeds and the result is persisted/visible as specified.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UAT-002</w:t>
            </w:r>
          </w:p>
        </w:tc>
        <w:tc>
          <w:tcPr>
            <w:tcW w:w="700" w:type="dxa"/>
          </w:tcPr>
          <w:p>
            <w:r>
              <w:t xml:space="preserve">M01</w:t>
            </w:r>
          </w:p>
        </w:tc>
        <w:tc>
          <w:tcPr>
            <w:tcW w:w="1100" w:type="dxa"/>
          </w:tcPr>
          <w:p>
            <w:r>
              <w:t xml:space="preserve">Empty-State</w:t>
            </w:r>
          </w:p>
        </w:tc>
        <w:tc>
          <w:tcPr>
            <w:tcW w:w="3600" w:type="dxa"/>
          </w:tcPr>
          <w:p>
            <w:r>
              <w:t xml:space="preserve">First-time user with no prior session sees the clean login screen with no residual data.</w:t>
            </w:r>
          </w:p>
        </w:tc>
        <w:tc>
          <w:tcPr>
            <w:tcW w:w="2700" w:type="dxa"/>
          </w:tcPr>
          <w:p>
            <w:r>
              <w:t xml:space="preserve">Documented empty-state is shown with no residual or stale data.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UAT-003</w:t>
            </w:r>
          </w:p>
        </w:tc>
        <w:tc>
          <w:tcPr>
            <w:tcW w:w="700" w:type="dxa"/>
          </w:tcPr>
          <w:p>
            <w:r>
              <w:t xml:space="preserve">M02</w:t>
            </w:r>
          </w:p>
        </w:tc>
        <w:tc>
          <w:tcPr>
            <w:tcW w:w="1100" w:type="dxa"/>
          </w:tcPr>
          <w:p>
            <w:r>
              <w:t xml:space="preserve">Positive</w:t>
            </w:r>
          </w:p>
        </w:tc>
        <w:tc>
          <w:tcPr>
            <w:tcW w:w="3600" w:type="dxa"/>
          </w:tcPr>
          <w:p>
            <w:r>
              <w:t xml:space="preserve">A new client/entity is onboarded with all mandatory particulars and appears in the client list.</w:t>
            </w:r>
          </w:p>
        </w:tc>
        <w:tc>
          <w:tcPr>
            <w:tcW w:w="2700" w:type="dxa"/>
          </w:tcPr>
          <w:p>
            <w:r>
              <w:t xml:space="preserve">Action succeeds and the result is persisted/visible as specified.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UAT-004</w:t>
            </w:r>
          </w:p>
        </w:tc>
        <w:tc>
          <w:tcPr>
            <w:tcW w:w="700" w:type="dxa"/>
          </w:tcPr>
          <w:p>
            <w:r>
              <w:t xml:space="preserve">M02</w:t>
            </w:r>
          </w:p>
        </w:tc>
        <w:tc>
          <w:tcPr>
            <w:tcW w:w="1100" w:type="dxa"/>
          </w:tcPr>
          <w:p>
            <w:r>
              <w:t xml:space="preserve">Empty-State</w:t>
            </w:r>
          </w:p>
        </w:tc>
        <w:tc>
          <w:tcPr>
            <w:tcW w:w="3600" w:type="dxa"/>
          </w:tcPr>
          <w:p>
            <w:r>
              <w:t xml:space="preserve">Onboarding queue with no in-progress clients shows the documented empty-state guidance.</w:t>
            </w:r>
          </w:p>
        </w:tc>
        <w:tc>
          <w:tcPr>
            <w:tcW w:w="2700" w:type="dxa"/>
          </w:tcPr>
          <w:p>
            <w:r>
              <w:t xml:space="preserve">Documented empty-state is shown with no residual or stale data.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UAT-005</w:t>
            </w:r>
          </w:p>
        </w:tc>
        <w:tc>
          <w:tcPr>
            <w:tcW w:w="700" w:type="dxa"/>
          </w:tcPr>
          <w:p>
            <w:r>
              <w:t xml:space="preserve">M03</w:t>
            </w:r>
          </w:p>
        </w:tc>
        <w:tc>
          <w:tcPr>
            <w:tcW w:w="1100" w:type="dxa"/>
          </w:tcPr>
          <w:p>
            <w:r>
              <w:t xml:space="preserve">Positive</w:t>
            </w:r>
          </w:p>
        </w:tc>
        <w:tc>
          <w:tcPr>
            <w:tcW w:w="3600" w:type="dxa"/>
          </w:tcPr>
          <w:p>
            <w:r>
              <w:t xml:space="preserve">An entity profile is created and saved with PAN, CIN and GSTIN persisted correctly.</w:t>
            </w:r>
          </w:p>
        </w:tc>
        <w:tc>
          <w:tcPr>
            <w:tcW w:w="2700" w:type="dxa"/>
          </w:tcPr>
          <w:p>
            <w:r>
              <w:t xml:space="preserve">Action succeeds and the result is persisted/visible as specified.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UAT-006</w:t>
            </w:r>
          </w:p>
        </w:tc>
        <w:tc>
          <w:tcPr>
            <w:tcW w:w="700" w:type="dxa"/>
          </w:tcPr>
          <w:p>
            <w:r>
              <w:t xml:space="preserve">M03</w:t>
            </w:r>
          </w:p>
        </w:tc>
        <w:tc>
          <w:tcPr>
            <w:tcW w:w="1100" w:type="dxa"/>
          </w:tcPr>
          <w:p>
            <w:r>
              <w:t xml:space="preserve">Empty-State</w:t>
            </w:r>
          </w:p>
        </w:tc>
        <w:tc>
          <w:tcPr>
            <w:tcW w:w="3600" w:type="dxa"/>
          </w:tcPr>
          <w:p>
            <w:r>
              <w:t xml:space="preserve">Entity profile screen for a brand-new record shows blank fields and no stale values.</w:t>
            </w:r>
          </w:p>
        </w:tc>
        <w:tc>
          <w:tcPr>
            <w:tcW w:w="2700" w:type="dxa"/>
          </w:tcPr>
          <w:p>
            <w:r>
              <w:t xml:space="preserve">Documented empty-state is shown with no residual or stale data.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UAT-007</w:t>
            </w:r>
          </w:p>
        </w:tc>
        <w:tc>
          <w:tcPr>
            <w:tcW w:w="700" w:type="dxa"/>
          </w:tcPr>
          <w:p>
            <w:r>
              <w:t xml:space="preserve">M04</w:t>
            </w:r>
          </w:p>
        </w:tc>
        <w:tc>
          <w:tcPr>
            <w:tcW w:w="1100" w:type="dxa"/>
          </w:tcPr>
          <w:p>
            <w:r>
              <w:t xml:space="preserve">Positive</w:t>
            </w:r>
          </w:p>
        </w:tc>
        <w:tc>
          <w:tcPr>
            <w:tcW w:w="3600" w:type="dxa"/>
          </w:tcPr>
          <w:p>
            <w:r>
              <w:t xml:space="preserve">A document is uploaded, categorised and retrievable from the correct entity vault.</w:t>
            </w:r>
          </w:p>
        </w:tc>
        <w:tc>
          <w:tcPr>
            <w:tcW w:w="2700" w:type="dxa"/>
          </w:tcPr>
          <w:p>
            <w:r>
              <w:t xml:space="preserve">Action succeeds and the result is persisted/visible as specified.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UAT-008</w:t>
            </w:r>
          </w:p>
        </w:tc>
        <w:tc>
          <w:tcPr>
            <w:tcW w:w="700" w:type="dxa"/>
          </w:tcPr>
          <w:p>
            <w:r>
              <w:t xml:space="preserve">M04</w:t>
            </w:r>
          </w:p>
        </w:tc>
        <w:tc>
          <w:tcPr>
            <w:tcW w:w="1100" w:type="dxa"/>
          </w:tcPr>
          <w:p>
            <w:r>
              <w:t xml:space="preserve">Empty-State</w:t>
            </w:r>
          </w:p>
        </w:tc>
        <w:tc>
          <w:tcPr>
            <w:tcW w:w="3600" w:type="dxa"/>
          </w:tcPr>
          <w:p>
            <w:r>
              <w:t xml:space="preserve">An entity vault with no documents shows the empty-state message and upload prompt.</w:t>
            </w:r>
          </w:p>
        </w:tc>
        <w:tc>
          <w:tcPr>
            <w:tcW w:w="2700" w:type="dxa"/>
          </w:tcPr>
          <w:p>
            <w:r>
              <w:t xml:space="preserve">Documented empty-state is shown with no residual or stale data.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UAT-009</w:t>
            </w:r>
          </w:p>
        </w:tc>
        <w:tc>
          <w:tcPr>
            <w:tcW w:w="700" w:type="dxa"/>
          </w:tcPr>
          <w:p>
            <w:r>
              <w:t xml:space="preserve">M05</w:t>
            </w:r>
          </w:p>
        </w:tc>
        <w:tc>
          <w:tcPr>
            <w:tcW w:w="1100" w:type="dxa"/>
          </w:tcPr>
          <w:p>
            <w:r>
              <w:t xml:space="preserve">Positive</w:t>
            </w:r>
          </w:p>
        </w:tc>
        <w:tc>
          <w:tcPr>
            <w:tcW w:w="3600" w:type="dxa"/>
          </w:tcPr>
          <w:p>
            <w:r>
              <w:t xml:space="preserve">An upcoming statutory due date appears on the compliance calendar for the correct entity.</w:t>
            </w:r>
          </w:p>
        </w:tc>
        <w:tc>
          <w:tcPr>
            <w:tcW w:w="2700" w:type="dxa"/>
          </w:tcPr>
          <w:p>
            <w:r>
              <w:t xml:space="preserve">Action succeeds and the result is persisted/visible as specified.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UAT-010</w:t>
            </w:r>
          </w:p>
        </w:tc>
        <w:tc>
          <w:tcPr>
            <w:tcW w:w="700" w:type="dxa"/>
          </w:tcPr>
          <w:p>
            <w:r>
              <w:t xml:space="preserve">M05</w:t>
            </w:r>
          </w:p>
        </w:tc>
        <w:tc>
          <w:tcPr>
            <w:tcW w:w="1100" w:type="dxa"/>
          </w:tcPr>
          <w:p>
            <w:r>
              <w:t xml:space="preserve">Empty-State</w:t>
            </w:r>
          </w:p>
        </w:tc>
        <w:tc>
          <w:tcPr>
            <w:tcW w:w="3600" w:type="dxa"/>
          </w:tcPr>
          <w:p>
            <w:r>
              <w:t xml:space="preserve">A period with no applicable obligations shows an explicit no-due-items empty state.</w:t>
            </w:r>
          </w:p>
        </w:tc>
        <w:tc>
          <w:tcPr>
            <w:tcW w:w="2700" w:type="dxa"/>
          </w:tcPr>
          <w:p>
            <w:r>
              <w:t xml:space="preserve">Documented empty-state is shown with no residual or stale data.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UAT-011</w:t>
            </w:r>
          </w:p>
        </w:tc>
        <w:tc>
          <w:tcPr>
            <w:tcW w:w="700" w:type="dxa"/>
          </w:tcPr>
          <w:p>
            <w:r>
              <w:t xml:space="preserve">M06</w:t>
            </w:r>
          </w:p>
        </w:tc>
        <w:tc>
          <w:tcPr>
            <w:tcW w:w="1100" w:type="dxa"/>
          </w:tcPr>
          <w:p>
            <w:r>
              <w:t xml:space="preserve">Positive</w:t>
            </w:r>
          </w:p>
        </w:tc>
        <w:tc>
          <w:tcPr>
            <w:tcW w:w="3600" w:type="dxa"/>
          </w:tcPr>
          <w:p>
            <w:r>
              <w:t xml:space="preserve">A task is created, assigned and progresses through to a reviewed/closed status.</w:t>
            </w:r>
          </w:p>
        </w:tc>
        <w:tc>
          <w:tcPr>
            <w:tcW w:w="2700" w:type="dxa"/>
          </w:tcPr>
          <w:p>
            <w:r>
              <w:t xml:space="preserve">Action succeeds and the result is persisted/visible as specified.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UAT-012</w:t>
            </w:r>
          </w:p>
        </w:tc>
        <w:tc>
          <w:tcPr>
            <w:tcW w:w="700" w:type="dxa"/>
          </w:tcPr>
          <w:p>
            <w:r>
              <w:t xml:space="preserve">M06</w:t>
            </w:r>
          </w:p>
        </w:tc>
        <w:tc>
          <w:tcPr>
            <w:tcW w:w="1100" w:type="dxa"/>
          </w:tcPr>
          <w:p>
            <w:r>
              <w:t xml:space="preserve">Empty-State</w:t>
            </w:r>
          </w:p>
        </w:tc>
        <w:tc>
          <w:tcPr>
            <w:tcW w:w="3600" w:type="dxa"/>
          </w:tcPr>
          <w:p>
            <w:r>
              <w:t xml:space="preserve">A user with no assigned tasks sees the empty task list with documented guidance.</w:t>
            </w:r>
          </w:p>
        </w:tc>
        <w:tc>
          <w:tcPr>
            <w:tcW w:w="2700" w:type="dxa"/>
          </w:tcPr>
          <w:p>
            <w:r>
              <w:t xml:space="preserve">Documented empty-state is shown with no residual or stale data.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UAT-013</w:t>
            </w:r>
          </w:p>
        </w:tc>
        <w:tc>
          <w:tcPr>
            <w:tcW w:w="700" w:type="dxa"/>
          </w:tcPr>
          <w:p>
            <w:r>
              <w:t xml:space="preserve">M07</w:t>
            </w:r>
          </w:p>
        </w:tc>
        <w:tc>
          <w:tcPr>
            <w:tcW w:w="1100" w:type="dxa"/>
          </w:tcPr>
          <w:p>
            <w:r>
              <w:t xml:space="preserve">Positive</w:t>
            </w:r>
          </w:p>
        </w:tc>
        <w:tc>
          <w:tcPr>
            <w:tcW w:w="3600" w:type="dxa"/>
          </w:tcPr>
          <w:p>
            <w:r>
              <w:t xml:space="preserve">An engagement is recorded with a fee schedule and an invoice line is tracked.</w:t>
            </w:r>
          </w:p>
        </w:tc>
        <w:tc>
          <w:tcPr>
            <w:tcW w:w="2700" w:type="dxa"/>
          </w:tcPr>
          <w:p>
            <w:r>
              <w:t xml:space="preserve">Action succeeds and the result is persisted/visible as specified.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UAT-014</w:t>
            </w:r>
          </w:p>
        </w:tc>
        <w:tc>
          <w:tcPr>
            <w:tcW w:w="700" w:type="dxa"/>
          </w:tcPr>
          <w:p>
            <w:r>
              <w:t xml:space="preserve">M07</w:t>
            </w:r>
          </w:p>
        </w:tc>
        <w:tc>
          <w:tcPr>
            <w:tcW w:w="1100" w:type="dxa"/>
          </w:tcPr>
          <w:p>
            <w:r>
              <w:t xml:space="preserve">Empty-State</w:t>
            </w:r>
          </w:p>
        </w:tc>
        <w:tc>
          <w:tcPr>
            <w:tcW w:w="3600" w:type="dxa"/>
          </w:tcPr>
          <w:p>
            <w:r>
              <w:t xml:space="preserve">A client with no engagements shows the empty engagement/billing state.</w:t>
            </w:r>
          </w:p>
        </w:tc>
        <w:tc>
          <w:tcPr>
            <w:tcW w:w="2700" w:type="dxa"/>
          </w:tcPr>
          <w:p>
            <w:r>
              <w:t xml:space="preserve">Documented empty-state is shown with no residual or stale data.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UAT-015</w:t>
            </w:r>
          </w:p>
        </w:tc>
        <w:tc>
          <w:tcPr>
            <w:tcW w:w="700" w:type="dxa"/>
          </w:tcPr>
          <w:p>
            <w:r>
              <w:t xml:space="preserve">M08</w:t>
            </w:r>
          </w:p>
        </w:tc>
        <w:tc>
          <w:tcPr>
            <w:tcW w:w="1100" w:type="dxa"/>
          </w:tcPr>
          <w:p>
            <w:r>
              <w:t xml:space="preserve">Positive</w:t>
            </w:r>
          </w:p>
        </w:tc>
        <w:tc>
          <w:tcPr>
            <w:tcW w:w="3600" w:type="dxa"/>
          </w:tcPr>
          <w:p>
            <w:r>
              <w:t xml:space="preserve">Draft financial statements are attached and a review note is recorded against them.</w:t>
            </w:r>
          </w:p>
        </w:tc>
        <w:tc>
          <w:tcPr>
            <w:tcW w:w="2700" w:type="dxa"/>
          </w:tcPr>
          <w:p>
            <w:r>
              <w:t xml:space="preserve">Action succeeds and the result is persisted/visible as specified.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UAT-016</w:t>
            </w:r>
          </w:p>
        </w:tc>
        <w:tc>
          <w:tcPr>
            <w:tcW w:w="700" w:type="dxa"/>
          </w:tcPr>
          <w:p>
            <w:r>
              <w:t xml:space="preserve">M08</w:t>
            </w:r>
          </w:p>
        </w:tc>
        <w:tc>
          <w:tcPr>
            <w:tcW w:w="1100" w:type="dxa"/>
          </w:tcPr>
          <w:p>
            <w:r>
              <w:t xml:space="preserve">Empty-State</w:t>
            </w:r>
          </w:p>
        </w:tc>
        <w:tc>
          <w:tcPr>
            <w:tcW w:w="3600" w:type="dxa"/>
          </w:tcPr>
          <w:p>
            <w:r>
              <w:t xml:space="preserve">A review workspace with no draft financials shows the empty-state placeholder.</w:t>
            </w:r>
          </w:p>
        </w:tc>
        <w:tc>
          <w:tcPr>
            <w:tcW w:w="2700" w:type="dxa"/>
          </w:tcPr>
          <w:p>
            <w:r>
              <w:t xml:space="preserve">Documented empty-state is shown with no residual or stale data.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UAT-017</w:t>
            </w:r>
          </w:p>
        </w:tc>
        <w:tc>
          <w:tcPr>
            <w:tcW w:w="700" w:type="dxa"/>
          </w:tcPr>
          <w:p>
            <w:r>
              <w:t xml:space="preserve">M09</w:t>
            </w:r>
          </w:p>
        </w:tc>
        <w:tc>
          <w:tcPr>
            <w:tcW w:w="1100" w:type="dxa"/>
          </w:tcPr>
          <w:p>
            <w:r>
              <w:t xml:space="preserve">Positive</w:t>
            </w:r>
          </w:p>
        </w:tc>
        <w:tc>
          <w:tcPr>
            <w:tcW w:w="3600" w:type="dxa"/>
          </w:tcPr>
          <w:p>
            <w:r>
              <w:t xml:space="preserve">A GST period is marked prepared and a filing acknowledgement reference is stored.</w:t>
            </w:r>
          </w:p>
        </w:tc>
        <w:tc>
          <w:tcPr>
            <w:tcW w:w="2700" w:type="dxa"/>
          </w:tcPr>
          <w:p>
            <w:r>
              <w:t xml:space="preserve">Action succeeds and the result is persisted/visible as specified.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UAT-018</w:t>
            </w:r>
          </w:p>
        </w:tc>
        <w:tc>
          <w:tcPr>
            <w:tcW w:w="700" w:type="dxa"/>
          </w:tcPr>
          <w:p>
            <w:r>
              <w:t xml:space="preserve">M09</w:t>
            </w:r>
          </w:p>
        </w:tc>
        <w:tc>
          <w:tcPr>
            <w:tcW w:w="1100" w:type="dxa"/>
          </w:tcPr>
          <w:p>
            <w:r>
              <w:t xml:space="preserve">Empty-State</w:t>
            </w:r>
          </w:p>
        </w:tc>
        <w:tc>
          <w:tcPr>
            <w:tcW w:w="3600" w:type="dxa"/>
          </w:tcPr>
          <w:p>
            <w:r>
              <w:t xml:space="preserve">A GST tracker with no periods configured shows the empty-state guidance.</w:t>
            </w:r>
          </w:p>
        </w:tc>
        <w:tc>
          <w:tcPr>
            <w:tcW w:w="2700" w:type="dxa"/>
          </w:tcPr>
          <w:p>
            <w:r>
              <w:t xml:space="preserve">Documented empty-state is shown with no residual or stale data.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UAT-019</w:t>
            </w:r>
          </w:p>
        </w:tc>
        <w:tc>
          <w:tcPr>
            <w:tcW w:w="700" w:type="dxa"/>
          </w:tcPr>
          <w:p>
            <w:r>
              <w:t xml:space="preserve">M10</w:t>
            </w:r>
          </w:p>
        </w:tc>
        <w:tc>
          <w:tcPr>
            <w:tcW w:w="1100" w:type="dxa"/>
          </w:tcPr>
          <w:p>
            <w:r>
              <w:t xml:space="preserve">Positive</w:t>
            </w:r>
          </w:p>
        </w:tc>
        <w:tc>
          <w:tcPr>
            <w:tcW w:w="3600" w:type="dxa"/>
          </w:tcPr>
          <w:p>
            <w:r>
              <w:t xml:space="preserve">An ITR is marked prepared with a computation reference and acknowledgement stored.</w:t>
            </w:r>
          </w:p>
        </w:tc>
        <w:tc>
          <w:tcPr>
            <w:tcW w:w="2700" w:type="dxa"/>
          </w:tcPr>
          <w:p>
            <w:r>
              <w:t xml:space="preserve">Action succeeds and the result is persisted/visible as specified.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UAT-020</w:t>
            </w:r>
          </w:p>
        </w:tc>
        <w:tc>
          <w:tcPr>
            <w:tcW w:w="700" w:type="dxa"/>
          </w:tcPr>
          <w:p>
            <w:r>
              <w:t xml:space="preserve">M10</w:t>
            </w:r>
          </w:p>
        </w:tc>
        <w:tc>
          <w:tcPr>
            <w:tcW w:w="1100" w:type="dxa"/>
          </w:tcPr>
          <w:p>
            <w:r>
              <w:t xml:space="preserve">Empty-State</w:t>
            </w:r>
          </w:p>
        </w:tc>
        <w:tc>
          <w:tcPr>
            <w:tcW w:w="3600" w:type="dxa"/>
          </w:tcPr>
          <w:p>
            <w:r>
              <w:t xml:space="preserve">An income-tax tracker with no assessment years configured shows the empty state.</w:t>
            </w:r>
          </w:p>
        </w:tc>
        <w:tc>
          <w:tcPr>
            <w:tcW w:w="2700" w:type="dxa"/>
          </w:tcPr>
          <w:p>
            <w:r>
              <w:t xml:space="preserve">Documented empty-state is shown with no residual or stale data.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UAT-021</w:t>
            </w:r>
          </w:p>
        </w:tc>
        <w:tc>
          <w:tcPr>
            <w:tcW w:w="700" w:type="dxa"/>
          </w:tcPr>
          <w:p>
            <w:r>
              <w:t xml:space="preserve">M11</w:t>
            </w:r>
          </w:p>
        </w:tc>
        <w:tc>
          <w:tcPr>
            <w:tcW w:w="1100" w:type="dxa"/>
          </w:tcPr>
          <w:p>
            <w:r>
              <w:t xml:space="preserve">Positive</w:t>
            </w:r>
          </w:p>
        </w:tc>
        <w:tc>
          <w:tcPr>
            <w:tcW w:w="3600" w:type="dxa"/>
          </w:tcPr>
          <w:p>
            <w:r>
              <w:t xml:space="preserve">A ROC annual-filing obligation is tracked to a completed/filed status.</w:t>
            </w:r>
          </w:p>
        </w:tc>
        <w:tc>
          <w:tcPr>
            <w:tcW w:w="2700" w:type="dxa"/>
          </w:tcPr>
          <w:p>
            <w:r>
              <w:t xml:space="preserve">Action succeeds and the result is persisted/visible as specified.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UAT-022</w:t>
            </w:r>
          </w:p>
        </w:tc>
        <w:tc>
          <w:tcPr>
            <w:tcW w:w="700" w:type="dxa"/>
          </w:tcPr>
          <w:p>
            <w:r>
              <w:t xml:space="preserve">M11</w:t>
            </w:r>
          </w:p>
        </w:tc>
        <w:tc>
          <w:tcPr>
            <w:tcW w:w="1100" w:type="dxa"/>
          </w:tcPr>
          <w:p>
            <w:r>
              <w:t xml:space="preserve">Empty-State</w:t>
            </w:r>
          </w:p>
        </w:tc>
        <w:tc>
          <w:tcPr>
            <w:tcW w:w="3600" w:type="dxa"/>
          </w:tcPr>
          <w:p>
            <w:r>
              <w:t xml:space="preserve">A non-company entity with no ROC obligations shows the documented empty state.</w:t>
            </w:r>
          </w:p>
        </w:tc>
        <w:tc>
          <w:tcPr>
            <w:tcW w:w="2700" w:type="dxa"/>
          </w:tcPr>
          <w:p>
            <w:r>
              <w:t xml:space="preserve">Documented empty-state is shown with no residual or stale data.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UAT-023</w:t>
            </w:r>
          </w:p>
        </w:tc>
        <w:tc>
          <w:tcPr>
            <w:tcW w:w="700" w:type="dxa"/>
          </w:tcPr>
          <w:p>
            <w:r>
              <w:t xml:space="preserve">M12</w:t>
            </w:r>
          </w:p>
        </w:tc>
        <w:tc>
          <w:tcPr>
            <w:tcW w:w="1100" w:type="dxa"/>
          </w:tcPr>
          <w:p>
            <w:r>
              <w:t xml:space="preserve">Positive</w:t>
            </w:r>
          </w:p>
        </w:tc>
        <w:tc>
          <w:tcPr>
            <w:tcW w:w="3600" w:type="dxa"/>
          </w:tcPr>
          <w:p>
            <w:r>
              <w:t xml:space="preserve">A due-date notification is generated and visible to the assigned user.</w:t>
            </w:r>
          </w:p>
        </w:tc>
        <w:tc>
          <w:tcPr>
            <w:tcW w:w="2700" w:type="dxa"/>
          </w:tcPr>
          <w:p>
            <w:r>
              <w:t xml:space="preserve">Action succeeds and the result is persisted/visible as specified.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UAT-024</w:t>
            </w:r>
          </w:p>
        </w:tc>
        <w:tc>
          <w:tcPr>
            <w:tcW w:w="700" w:type="dxa"/>
          </w:tcPr>
          <w:p>
            <w:r>
              <w:t xml:space="preserve">M12</w:t>
            </w:r>
          </w:p>
        </w:tc>
        <w:tc>
          <w:tcPr>
            <w:tcW w:w="1100" w:type="dxa"/>
          </w:tcPr>
          <w:p>
            <w:r>
              <w:t xml:space="preserve">Empty-State</w:t>
            </w:r>
          </w:p>
        </w:tc>
        <w:tc>
          <w:tcPr>
            <w:tcW w:w="3600" w:type="dxa"/>
          </w:tcPr>
          <w:p>
            <w:r>
              <w:t xml:space="preserve">A user with no notifications sees the empty notification centre.</w:t>
            </w:r>
          </w:p>
        </w:tc>
        <w:tc>
          <w:tcPr>
            <w:tcW w:w="2700" w:type="dxa"/>
          </w:tcPr>
          <w:p>
            <w:r>
              <w:t xml:space="preserve">Documented empty-state is shown with no residual or stale data.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UAT-025</w:t>
            </w:r>
          </w:p>
        </w:tc>
        <w:tc>
          <w:tcPr>
            <w:tcW w:w="700" w:type="dxa"/>
          </w:tcPr>
          <w:p>
            <w:r>
              <w:t xml:space="preserve">M13</w:t>
            </w:r>
          </w:p>
        </w:tc>
        <w:tc>
          <w:tcPr>
            <w:tcW w:w="1100" w:type="dxa"/>
          </w:tcPr>
          <w:p>
            <w:r>
              <w:t xml:space="preserve">Positive</w:t>
            </w:r>
          </w:p>
        </w:tc>
        <w:tc>
          <w:tcPr>
            <w:tcW w:w="3600" w:type="dxa"/>
          </w:tcPr>
          <w:p>
            <w:r>
              <w:t xml:space="preserve">A read-only dashboard renders correct summary counts and supports export.</w:t>
            </w:r>
          </w:p>
        </w:tc>
        <w:tc>
          <w:tcPr>
            <w:tcW w:w="2700" w:type="dxa"/>
          </w:tcPr>
          <w:p>
            <w:r>
              <w:t xml:space="preserve">Action succeeds and the result is persisted/visible as specified.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UAT-026</w:t>
            </w:r>
          </w:p>
        </w:tc>
        <w:tc>
          <w:tcPr>
            <w:tcW w:w="700" w:type="dxa"/>
          </w:tcPr>
          <w:p>
            <w:r>
              <w:t xml:space="preserve">M13</w:t>
            </w:r>
          </w:p>
        </w:tc>
        <w:tc>
          <w:tcPr>
            <w:tcW w:w="1100" w:type="dxa"/>
          </w:tcPr>
          <w:p>
            <w:r>
              <w:t xml:space="preserve">Empty-State</w:t>
            </w:r>
          </w:p>
        </w:tc>
        <w:tc>
          <w:tcPr>
            <w:tcW w:w="3600" w:type="dxa"/>
          </w:tcPr>
          <w:p>
            <w:r>
              <w:t xml:space="preserve">A firm with no operational data renders dashboards with zero-state placeholders.</w:t>
            </w:r>
          </w:p>
        </w:tc>
        <w:tc>
          <w:tcPr>
            <w:tcW w:w="2700" w:type="dxa"/>
          </w:tcPr>
          <w:p>
            <w:r>
              <w:t xml:space="preserve">Documented empty-state is shown with no residual or stale data.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UAT-027</w:t>
            </w:r>
          </w:p>
        </w:tc>
        <w:tc>
          <w:tcPr>
            <w:tcW w:w="700" w:type="dxa"/>
          </w:tcPr>
          <w:p>
            <w:r>
              <w:t xml:space="preserve">M14</w:t>
            </w:r>
          </w:p>
        </w:tc>
        <w:tc>
          <w:tcPr>
            <w:tcW w:w="1100" w:type="dxa"/>
          </w:tcPr>
          <w:p>
            <w:r>
              <w:t xml:space="preserve">Positive</w:t>
            </w:r>
          </w:p>
        </w:tc>
        <w:tc>
          <w:tcPr>
            <w:tcW w:w="3600" w:type="dxa"/>
          </w:tcPr>
          <w:p>
            <w:r>
              <w:t xml:space="preserve">A user action is recorded in the activity trail with actor, action and timestamp.</w:t>
            </w:r>
          </w:p>
        </w:tc>
        <w:tc>
          <w:tcPr>
            <w:tcW w:w="2700" w:type="dxa"/>
          </w:tcPr>
          <w:p>
            <w:r>
              <w:t xml:space="preserve">Action succeeds and the result is persisted/visible as specified.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UAT-028</w:t>
            </w:r>
          </w:p>
        </w:tc>
        <w:tc>
          <w:tcPr>
            <w:tcW w:w="700" w:type="dxa"/>
          </w:tcPr>
          <w:p>
            <w:r>
              <w:t xml:space="preserve">M14</w:t>
            </w:r>
          </w:p>
        </w:tc>
        <w:tc>
          <w:tcPr>
            <w:tcW w:w="1100" w:type="dxa"/>
          </w:tcPr>
          <w:p>
            <w:r>
              <w:t xml:space="preserve">Empty-State</w:t>
            </w:r>
          </w:p>
        </w:tc>
        <w:tc>
          <w:tcPr>
            <w:tcW w:w="3600" w:type="dxa"/>
          </w:tcPr>
          <w:p>
            <w:r>
              <w:t xml:space="preserve">An entity with no recorded activity shows an empty but valid audit trail.</w:t>
            </w:r>
          </w:p>
        </w:tc>
        <w:tc>
          <w:tcPr>
            <w:tcW w:w="2700" w:type="dxa"/>
          </w:tcPr>
          <w:p>
            <w:r>
              <w:t xml:space="preserve">Documented empty-state is shown with no residual or stale data.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UAT-029</w:t>
            </w:r>
          </w:p>
        </w:tc>
        <w:tc>
          <w:tcPr>
            <w:tcW w:w="700" w:type="dxa"/>
          </w:tcPr>
          <w:p>
            <w:r>
              <w:t xml:space="preserve">M15</w:t>
            </w:r>
          </w:p>
        </w:tc>
        <w:tc>
          <w:tcPr>
            <w:tcW w:w="1100" w:type="dxa"/>
          </w:tcPr>
          <w:p>
            <w:r>
              <w:t xml:space="preserve">Positive</w:t>
            </w:r>
          </w:p>
        </w:tc>
        <w:tc>
          <w:tcPr>
            <w:tcW w:w="3600" w:type="dxa"/>
          </w:tcPr>
          <w:p>
            <w:r>
              <w:t xml:space="preserve">An administrator updates a reference list and the change is reflected system-wide.</w:t>
            </w:r>
          </w:p>
        </w:tc>
        <w:tc>
          <w:tcPr>
            <w:tcW w:w="2700" w:type="dxa"/>
          </w:tcPr>
          <w:p>
            <w:r>
              <w:t xml:space="preserve">Action succeeds and the result is persisted/visible as specified.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UAT-030</w:t>
            </w:r>
          </w:p>
        </w:tc>
        <w:tc>
          <w:tcPr>
            <w:tcW w:w="700" w:type="dxa"/>
          </w:tcPr>
          <w:p>
            <w:r>
              <w:t xml:space="preserve">M15</w:t>
            </w:r>
          </w:p>
        </w:tc>
        <w:tc>
          <w:tcPr>
            <w:tcW w:w="1100" w:type="dxa"/>
          </w:tcPr>
          <w:p>
            <w:r>
              <w:t xml:space="preserve">Empty-State</w:t>
            </w:r>
          </w:p>
        </w:tc>
        <w:tc>
          <w:tcPr>
            <w:tcW w:w="3600" w:type="dxa"/>
          </w:tcPr>
          <w:p>
            <w:r>
              <w:t xml:space="preserve">A freshly initialised configuration area shows defaults with no stale overrides.</w:t>
            </w:r>
          </w:p>
        </w:tc>
        <w:tc>
          <w:tcPr>
            <w:tcW w:w="2700" w:type="dxa"/>
          </w:tcPr>
          <w:p>
            <w:r>
              <w:t xml:space="preserve">Documented empty-state is shown with no residual or stale data.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UAT-031</w:t>
            </w:r>
          </w:p>
        </w:tc>
        <w:tc>
          <w:tcPr>
            <w:tcW w:w="700" w:type="dxa"/>
          </w:tcPr>
          <w:p>
            <w:r>
              <w:t xml:space="preserve">M01</w:t>
            </w:r>
          </w:p>
        </w:tc>
        <w:tc>
          <w:tcPr>
            <w:tcW w:w="1100" w:type="dxa"/>
          </w:tcPr>
          <w:p>
            <w:r>
              <w:t xml:space="preserve">Negative</w:t>
            </w:r>
          </w:p>
        </w:tc>
        <w:tc>
          <w:tcPr>
            <w:tcW w:w="3600" w:type="dxa"/>
          </w:tcPr>
          <w:p>
            <w:r>
              <w:t xml:space="preserve">Invalid password is rejected with a non-revealing error and no session is created.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UAT-032</w:t>
            </w:r>
          </w:p>
        </w:tc>
        <w:tc>
          <w:tcPr>
            <w:tcW w:w="700" w:type="dxa"/>
          </w:tcPr>
          <w:p>
            <w:r>
              <w:t xml:space="preserve">M01</w:t>
            </w:r>
          </w:p>
        </w:tc>
        <w:tc>
          <w:tcPr>
            <w:tcW w:w="1100" w:type="dxa"/>
          </w:tcPr>
          <w:p>
            <w:r>
              <w:t xml:space="preserve">Boundary</w:t>
            </w:r>
          </w:p>
        </w:tc>
        <w:tc>
          <w:tcPr>
            <w:tcW w:w="3600" w:type="dxa"/>
          </w:tcPr>
          <w:p>
            <w:r>
              <w:t xml:space="preserve">Expired OTP is rejected and a fresh OTP can be requested within the documented limit.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UAT-033</w:t>
            </w:r>
          </w:p>
        </w:tc>
        <w:tc>
          <w:tcPr>
            <w:tcW w:w="700" w:type="dxa"/>
          </w:tcPr>
          <w:p>
            <w:r>
              <w:t xml:space="preserve">M01</w:t>
            </w:r>
          </w:p>
        </w:tc>
        <w:tc>
          <w:tcPr>
            <w:tcW w:w="1100" w:type="dxa"/>
          </w:tcPr>
          <w:p>
            <w:r>
              <w:t xml:space="preserve">Permission</w:t>
            </w:r>
          </w:p>
        </w:tc>
        <w:tc>
          <w:tcPr>
            <w:tcW w:w="3600" w:type="dxa"/>
          </w:tcPr>
          <w:p>
            <w:r>
              <w:t xml:space="preserve">A client-role user cannot reach firm-only administrative routes.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UAT-034</w:t>
            </w:r>
          </w:p>
        </w:tc>
        <w:tc>
          <w:tcPr>
            <w:tcW w:w="700" w:type="dxa"/>
          </w:tcPr>
          <w:p>
            <w:r>
              <w:t xml:space="preserve">M02</w:t>
            </w:r>
          </w:p>
        </w:tc>
        <w:tc>
          <w:tcPr>
            <w:tcW w:w="1100" w:type="dxa"/>
          </w:tcPr>
          <w:p>
            <w:r>
              <w:t xml:space="preserve">Validation</w:t>
            </w:r>
          </w:p>
        </w:tc>
        <w:tc>
          <w:tcPr>
            <w:tcW w:w="3600" w:type="dxa"/>
          </w:tcPr>
          <w:p>
            <w:r>
              <w:t xml:space="preserve">Onboarding rejects a malformed PAN and blocks submission until corrected.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UAT-035</w:t>
            </w:r>
          </w:p>
        </w:tc>
        <w:tc>
          <w:tcPr>
            <w:tcW w:w="700" w:type="dxa"/>
          </w:tcPr>
          <w:p>
            <w:r>
              <w:t xml:space="preserve">M02</w:t>
            </w:r>
          </w:p>
        </w:tc>
        <w:tc>
          <w:tcPr>
            <w:tcW w:w="1100" w:type="dxa"/>
          </w:tcPr>
          <w:p>
            <w:r>
              <w:t xml:space="preserve">Validation</w:t>
            </w:r>
          </w:p>
        </w:tc>
        <w:tc>
          <w:tcPr>
            <w:tcW w:w="3600" w:type="dxa"/>
          </w:tcPr>
          <w:p>
            <w:r>
              <w:t xml:space="preserve">Onboarding rejects a malformed GSTIN and blocks submission until corrected.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UAT-036</w:t>
            </w:r>
          </w:p>
        </w:tc>
        <w:tc>
          <w:tcPr>
            <w:tcW w:w="700" w:type="dxa"/>
          </w:tcPr>
          <w:p>
            <w:r>
              <w:t xml:space="preserve">M02</w:t>
            </w:r>
          </w:p>
        </w:tc>
        <w:tc>
          <w:tcPr>
            <w:tcW w:w="1100" w:type="dxa"/>
          </w:tcPr>
          <w:p>
            <w:r>
              <w:t xml:space="preserve">Negative</w:t>
            </w:r>
          </w:p>
        </w:tc>
        <w:tc>
          <w:tcPr>
            <w:tcW w:w="3600" w:type="dxa"/>
          </w:tcPr>
          <w:p>
            <w:r>
              <w:t xml:space="preserve">Duplicate entity (same PAN) onboarding is prevented with a clear message.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UAT-037</w:t>
            </w:r>
          </w:p>
        </w:tc>
        <w:tc>
          <w:tcPr>
            <w:tcW w:w="700" w:type="dxa"/>
          </w:tcPr>
          <w:p>
            <w:r>
              <w:t xml:space="preserve">M03</w:t>
            </w:r>
          </w:p>
        </w:tc>
        <w:tc>
          <w:tcPr>
            <w:tcW w:w="1100" w:type="dxa"/>
          </w:tcPr>
          <w:p>
            <w:r>
              <w:t xml:space="preserve">Validation</w:t>
            </w:r>
          </w:p>
        </w:tc>
        <w:tc>
          <w:tcPr>
            <w:tcW w:w="3600" w:type="dxa"/>
          </w:tcPr>
          <w:p>
            <w:r>
              <w:t xml:space="preserve">Entity profile enforces a valid CIN format before save.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UAT-038</w:t>
            </w:r>
          </w:p>
        </w:tc>
        <w:tc>
          <w:tcPr>
            <w:tcW w:w="700" w:type="dxa"/>
          </w:tcPr>
          <w:p>
            <w:r>
              <w:t xml:space="preserve">M03</w:t>
            </w:r>
          </w:p>
        </w:tc>
        <w:tc>
          <w:tcPr>
            <w:tcW w:w="1100" w:type="dxa"/>
          </w:tcPr>
          <w:p>
            <w:r>
              <w:t xml:space="preserve">Validation</w:t>
            </w:r>
          </w:p>
        </w:tc>
        <w:tc>
          <w:tcPr>
            <w:tcW w:w="3600" w:type="dxa"/>
          </w:tcPr>
          <w:p>
            <w:r>
              <w:t xml:space="preserve">Entity profile enforces a valid email format for the primary contact.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UAT-039</w:t>
            </w:r>
          </w:p>
        </w:tc>
        <w:tc>
          <w:tcPr>
            <w:tcW w:w="700" w:type="dxa"/>
          </w:tcPr>
          <w:p>
            <w:r>
              <w:t xml:space="preserve">M03</w:t>
            </w:r>
          </w:p>
        </w:tc>
        <w:tc>
          <w:tcPr>
            <w:tcW w:w="1100" w:type="dxa"/>
          </w:tcPr>
          <w:p>
            <w:r>
              <w:t xml:space="preserve">Boundary</w:t>
            </w:r>
          </w:p>
        </w:tc>
        <w:tc>
          <w:tcPr>
            <w:tcW w:w="3600" w:type="dxa"/>
          </w:tcPr>
          <w:p>
            <w:r>
              <w:t xml:space="preserve">Date of incorporation cannot be set to a future date.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UAT-040</w:t>
            </w:r>
          </w:p>
        </w:tc>
        <w:tc>
          <w:tcPr>
            <w:tcW w:w="700" w:type="dxa"/>
          </w:tcPr>
          <w:p>
            <w:r>
              <w:t xml:space="preserve">M04</w:t>
            </w:r>
          </w:p>
        </w:tc>
        <w:tc>
          <w:tcPr>
            <w:tcW w:w="1100" w:type="dxa"/>
          </w:tcPr>
          <w:p>
            <w:r>
              <w:t xml:space="preserve">Validation</w:t>
            </w:r>
          </w:p>
        </w:tc>
        <w:tc>
          <w:tcPr>
            <w:tcW w:w="3600" w:type="dxa"/>
          </w:tcPr>
          <w:p>
            <w:r>
              <w:t xml:space="preserve">Vault rejects an unsupported file type with a documented message.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UAT-041</w:t>
            </w:r>
          </w:p>
        </w:tc>
        <w:tc>
          <w:tcPr>
            <w:tcW w:w="700" w:type="dxa"/>
          </w:tcPr>
          <w:p>
            <w:r>
              <w:t xml:space="preserve">M04</w:t>
            </w:r>
          </w:p>
        </w:tc>
        <w:tc>
          <w:tcPr>
            <w:tcW w:w="1100" w:type="dxa"/>
          </w:tcPr>
          <w:p>
            <w:r>
              <w:t xml:space="preserve">Boundary</w:t>
            </w:r>
          </w:p>
        </w:tc>
        <w:tc>
          <w:tcPr>
            <w:tcW w:w="3600" w:type="dxa"/>
          </w:tcPr>
          <w:p>
            <w:r>
              <w:t xml:space="preserve">Vault enforces the documented maximum upload size limit.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UAT-042</w:t>
            </w:r>
          </w:p>
        </w:tc>
        <w:tc>
          <w:tcPr>
            <w:tcW w:w="700" w:type="dxa"/>
          </w:tcPr>
          <w:p>
            <w:r>
              <w:t xml:space="preserve">M04</w:t>
            </w:r>
          </w:p>
        </w:tc>
        <w:tc>
          <w:tcPr>
            <w:tcW w:w="1100" w:type="dxa"/>
          </w:tcPr>
          <w:p>
            <w:r>
              <w:t xml:space="preserve">Negative</w:t>
            </w:r>
          </w:p>
        </w:tc>
        <w:tc>
          <w:tcPr>
            <w:tcW w:w="3600" w:type="dxa"/>
          </w:tcPr>
          <w:p>
            <w:r>
              <w:t xml:space="preserve">A user cannot retrieve documents from an entity outside their access scope.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UAT-043</w:t>
            </w:r>
          </w:p>
        </w:tc>
        <w:tc>
          <w:tcPr>
            <w:tcW w:w="700" w:type="dxa"/>
          </w:tcPr>
          <w:p>
            <w:r>
              <w:t xml:space="preserve">M05</w:t>
            </w:r>
          </w:p>
        </w:tc>
        <w:tc>
          <w:tcPr>
            <w:tcW w:w="1100" w:type="dxa"/>
          </w:tcPr>
          <w:p>
            <w:r>
              <w:t xml:space="preserve">Validation</w:t>
            </w:r>
          </w:p>
        </w:tc>
        <w:tc>
          <w:tcPr>
            <w:tcW w:w="3600" w:type="dxa"/>
          </w:tcPr>
          <w:p>
            <w:r>
              <w:t xml:space="preserve">Calendar requires an entity and obligation type before a due item is created.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UAT-044</w:t>
            </w:r>
          </w:p>
        </w:tc>
        <w:tc>
          <w:tcPr>
            <w:tcW w:w="700" w:type="dxa"/>
          </w:tcPr>
          <w:p>
            <w:r>
              <w:t xml:space="preserve">M05</w:t>
            </w:r>
          </w:p>
        </w:tc>
        <w:tc>
          <w:tcPr>
            <w:tcW w:w="1100" w:type="dxa"/>
          </w:tcPr>
          <w:p>
            <w:r>
              <w:t xml:space="preserve">Boundary</w:t>
            </w:r>
          </w:p>
        </w:tc>
        <w:tc>
          <w:tcPr>
            <w:tcW w:w="3600" w:type="dxa"/>
          </w:tcPr>
          <w:p>
            <w:r>
              <w:t xml:space="preserve">Overdue obligations are visually distinguished from upcoming ones.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UAT-045</w:t>
            </w:r>
          </w:p>
        </w:tc>
        <w:tc>
          <w:tcPr>
            <w:tcW w:w="700" w:type="dxa"/>
          </w:tcPr>
          <w:p>
            <w:r>
              <w:t xml:space="preserve">M06</w:t>
            </w:r>
          </w:p>
        </w:tc>
        <w:tc>
          <w:tcPr>
            <w:tcW w:w="1100" w:type="dxa"/>
          </w:tcPr>
          <w:p>
            <w:r>
              <w:t xml:space="preserve">Validation</w:t>
            </w:r>
          </w:p>
        </w:tc>
        <w:tc>
          <w:tcPr>
            <w:tcW w:w="3600" w:type="dxa"/>
          </w:tcPr>
          <w:p>
            <w:r>
              <w:t xml:space="preserve">Task creation requires a title and an assignee before save.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UAT-046</w:t>
            </w:r>
          </w:p>
        </w:tc>
        <w:tc>
          <w:tcPr>
            <w:tcW w:w="700" w:type="dxa"/>
          </w:tcPr>
          <w:p>
            <w:r>
              <w:t xml:space="preserve">M06</w:t>
            </w:r>
          </w:p>
        </w:tc>
        <w:tc>
          <w:tcPr>
            <w:tcW w:w="1100" w:type="dxa"/>
          </w:tcPr>
          <w:p>
            <w:r>
              <w:t xml:space="preserve">Negative</w:t>
            </w:r>
          </w:p>
        </w:tc>
        <w:tc>
          <w:tcPr>
            <w:tcW w:w="3600" w:type="dxa"/>
          </w:tcPr>
          <w:p>
            <w:r>
              <w:t xml:space="preserve">A task cannot be closed while a mandatory review step is incomplete.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UAT-047</w:t>
            </w:r>
          </w:p>
        </w:tc>
        <w:tc>
          <w:tcPr>
            <w:tcW w:w="700" w:type="dxa"/>
          </w:tcPr>
          <w:p>
            <w:r>
              <w:t xml:space="preserve">M06</w:t>
            </w:r>
          </w:p>
        </w:tc>
        <w:tc>
          <w:tcPr>
            <w:tcW w:w="1100" w:type="dxa"/>
          </w:tcPr>
          <w:p>
            <w:r>
              <w:t xml:space="preserve">Permission</w:t>
            </w:r>
          </w:p>
        </w:tc>
        <w:tc>
          <w:tcPr>
            <w:tcW w:w="3600" w:type="dxa"/>
          </w:tcPr>
          <w:p>
            <w:r>
              <w:t xml:space="preserve">A non-reviewer cannot approve a task awaiting review.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UAT-048</w:t>
            </w:r>
          </w:p>
        </w:tc>
        <w:tc>
          <w:tcPr>
            <w:tcW w:w="700" w:type="dxa"/>
          </w:tcPr>
          <w:p>
            <w:r>
              <w:t xml:space="preserve">M07</w:t>
            </w:r>
          </w:p>
        </w:tc>
        <w:tc>
          <w:tcPr>
            <w:tcW w:w="1100" w:type="dxa"/>
          </w:tcPr>
          <w:p>
            <w:r>
              <w:t xml:space="preserve">Validation</w:t>
            </w:r>
          </w:p>
        </w:tc>
        <w:tc>
          <w:tcPr>
            <w:tcW w:w="3600" w:type="dxa"/>
          </w:tcPr>
          <w:p>
            <w:r>
              <w:t xml:space="preserve">Invoice line requires a positive amount and a valid currency unit.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UAT-049</w:t>
            </w:r>
          </w:p>
        </w:tc>
        <w:tc>
          <w:tcPr>
            <w:tcW w:w="700" w:type="dxa"/>
          </w:tcPr>
          <w:p>
            <w:r>
              <w:t xml:space="preserve">M07</w:t>
            </w:r>
          </w:p>
        </w:tc>
        <w:tc>
          <w:tcPr>
            <w:tcW w:w="1100" w:type="dxa"/>
          </w:tcPr>
          <w:p>
            <w:r>
              <w:t xml:space="preserve">Boundary</w:t>
            </w:r>
          </w:p>
        </w:tc>
        <w:tc>
          <w:tcPr>
            <w:tcW w:w="3600" w:type="dxa"/>
          </w:tcPr>
          <w:p>
            <w:r>
              <w:t xml:space="preserve">Fee amount accepts the documented maximum without overflow or rounding error.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UAT-050</w:t>
            </w:r>
          </w:p>
        </w:tc>
        <w:tc>
          <w:tcPr>
            <w:tcW w:w="700" w:type="dxa"/>
          </w:tcPr>
          <w:p>
            <w:r>
              <w:t xml:space="preserve">M08</w:t>
            </w:r>
          </w:p>
        </w:tc>
        <w:tc>
          <w:tcPr>
            <w:tcW w:w="1100" w:type="dxa"/>
          </w:tcPr>
          <w:p>
            <w:r>
              <w:t xml:space="preserve">Validation</w:t>
            </w:r>
          </w:p>
        </w:tc>
        <w:tc>
          <w:tcPr>
            <w:tcW w:w="3600" w:type="dxa"/>
          </w:tcPr>
          <w:p>
            <w:r>
              <w:t xml:space="preserve">Review note requires non-empty text and an author before save.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UAT-051</w:t>
            </w:r>
          </w:p>
        </w:tc>
        <w:tc>
          <w:tcPr>
            <w:tcW w:w="700" w:type="dxa"/>
          </w:tcPr>
          <w:p>
            <w:r>
              <w:t xml:space="preserve">M08</w:t>
            </w:r>
          </w:p>
        </w:tc>
        <w:tc>
          <w:tcPr>
            <w:tcW w:w="1100" w:type="dxa"/>
          </w:tcPr>
          <w:p>
            <w:r>
              <w:t xml:space="preserve">Negative</w:t>
            </w:r>
          </w:p>
        </w:tc>
        <w:tc>
          <w:tcPr>
            <w:tcW w:w="3600" w:type="dxa"/>
          </w:tcPr>
          <w:p>
            <w:r>
              <w:t xml:space="preserve">Financials cannot be marked reviewed while open review notes remain.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UAT-052</w:t>
            </w:r>
          </w:p>
        </w:tc>
        <w:tc>
          <w:tcPr>
            <w:tcW w:w="700" w:type="dxa"/>
          </w:tcPr>
          <w:p>
            <w:r>
              <w:t xml:space="preserve">M09</w:t>
            </w:r>
          </w:p>
        </w:tc>
        <w:tc>
          <w:tcPr>
            <w:tcW w:w="1100" w:type="dxa"/>
          </w:tcPr>
          <w:p>
            <w:r>
              <w:t xml:space="preserve">Validation</w:t>
            </w:r>
          </w:p>
        </w:tc>
        <w:tc>
          <w:tcPr>
            <w:tcW w:w="3600" w:type="dxa"/>
          </w:tcPr>
          <w:p>
            <w:r>
              <w:t xml:space="preserve">GST period requires a valid return type and tax period before save.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UAT-053</w:t>
            </w:r>
          </w:p>
        </w:tc>
        <w:tc>
          <w:tcPr>
            <w:tcW w:w="700" w:type="dxa"/>
          </w:tcPr>
          <w:p>
            <w:r>
              <w:t xml:space="preserve">M09</w:t>
            </w:r>
          </w:p>
        </w:tc>
        <w:tc>
          <w:tcPr>
            <w:tcW w:w="1100" w:type="dxa"/>
          </w:tcPr>
          <w:p>
            <w:r>
              <w:t xml:space="preserve">Negative</w:t>
            </w:r>
          </w:p>
        </w:tc>
        <w:tc>
          <w:tcPr>
            <w:tcW w:w="3600" w:type="dxa"/>
          </w:tcPr>
          <w:p>
            <w:r>
              <w:t xml:space="preserve">A GST period cannot be marked filed without an acknowledgement reference.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UAT-054</w:t>
            </w:r>
          </w:p>
        </w:tc>
        <w:tc>
          <w:tcPr>
            <w:tcW w:w="700" w:type="dxa"/>
          </w:tcPr>
          <w:p>
            <w:r>
              <w:t xml:space="preserve">M10</w:t>
            </w:r>
          </w:p>
        </w:tc>
        <w:tc>
          <w:tcPr>
            <w:tcW w:w="1100" w:type="dxa"/>
          </w:tcPr>
          <w:p>
            <w:r>
              <w:t xml:space="preserve">Validation</w:t>
            </w:r>
          </w:p>
        </w:tc>
        <w:tc>
          <w:tcPr>
            <w:tcW w:w="3600" w:type="dxa"/>
          </w:tcPr>
          <w:p>
            <w:r>
              <w:t xml:space="preserve">ITR record requires a valid assessment year before save.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UAT-055</w:t>
            </w:r>
          </w:p>
        </w:tc>
        <w:tc>
          <w:tcPr>
            <w:tcW w:w="700" w:type="dxa"/>
          </w:tcPr>
          <w:p>
            <w:r>
              <w:t xml:space="preserve">M10</w:t>
            </w:r>
          </w:p>
        </w:tc>
        <w:tc>
          <w:tcPr>
            <w:tcW w:w="1100" w:type="dxa"/>
          </w:tcPr>
          <w:p>
            <w:r>
              <w:t xml:space="preserve">Negative</w:t>
            </w:r>
          </w:p>
        </w:tc>
        <w:tc>
          <w:tcPr>
            <w:tcW w:w="3600" w:type="dxa"/>
          </w:tcPr>
          <w:p>
            <w:r>
              <w:t xml:space="preserve">An ITR cannot be marked filed without an acknowledgement reference.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UAT-056</w:t>
            </w:r>
          </w:p>
        </w:tc>
        <w:tc>
          <w:tcPr>
            <w:tcW w:w="700" w:type="dxa"/>
          </w:tcPr>
          <w:p>
            <w:r>
              <w:t xml:space="preserve">M11</w:t>
            </w:r>
          </w:p>
        </w:tc>
        <w:tc>
          <w:tcPr>
            <w:tcW w:w="1100" w:type="dxa"/>
          </w:tcPr>
          <w:p>
            <w:r>
              <w:t xml:space="preserve">Validation</w:t>
            </w:r>
          </w:p>
        </w:tc>
        <w:tc>
          <w:tcPr>
            <w:tcW w:w="3600" w:type="dxa"/>
          </w:tcPr>
          <w:p>
            <w:r>
              <w:t xml:space="preserve">ROC obligation requires a valid form type and financial year before save.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UAT-057</w:t>
            </w:r>
          </w:p>
        </w:tc>
        <w:tc>
          <w:tcPr>
            <w:tcW w:w="700" w:type="dxa"/>
          </w:tcPr>
          <w:p>
            <w:r>
              <w:t xml:space="preserve">M11</w:t>
            </w:r>
          </w:p>
        </w:tc>
        <w:tc>
          <w:tcPr>
            <w:tcW w:w="1100" w:type="dxa"/>
          </w:tcPr>
          <w:p>
            <w:r>
              <w:t xml:space="preserve">Boundary</w:t>
            </w:r>
          </w:p>
        </w:tc>
        <w:tc>
          <w:tcPr>
            <w:tcW w:w="3600" w:type="dxa"/>
          </w:tcPr>
          <w:p>
            <w:r>
              <w:t xml:space="preserve">Event-based ROC obligation due date is computed from the trigger date correctly.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UAT-058</w:t>
            </w:r>
          </w:p>
        </w:tc>
        <w:tc>
          <w:tcPr>
            <w:tcW w:w="700" w:type="dxa"/>
          </w:tcPr>
          <w:p>
            <w:r>
              <w:t xml:space="preserve">M12</w:t>
            </w:r>
          </w:p>
        </w:tc>
        <w:tc>
          <w:tcPr>
            <w:tcW w:w="1100" w:type="dxa"/>
          </w:tcPr>
          <w:p>
            <w:r>
              <w:t xml:space="preserve">Negative</w:t>
            </w:r>
          </w:p>
        </w:tc>
        <w:tc>
          <w:tcPr>
            <w:tcW w:w="3600" w:type="dxa"/>
          </w:tcPr>
          <w:p>
            <w:r>
              <w:t xml:space="preserve">A notification cannot be dismissed by a user it was not addressed to.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UAT-059</w:t>
            </w:r>
          </w:p>
        </w:tc>
        <w:tc>
          <w:tcPr>
            <w:tcW w:w="700" w:type="dxa"/>
          </w:tcPr>
          <w:p>
            <w:r>
              <w:t xml:space="preserve">M12</w:t>
            </w:r>
          </w:p>
        </w:tc>
        <w:tc>
          <w:tcPr>
            <w:tcW w:w="1100" w:type="dxa"/>
          </w:tcPr>
          <w:p>
            <w:r>
              <w:t xml:space="preserve">Boundary</w:t>
            </w:r>
          </w:p>
        </w:tc>
        <w:tc>
          <w:tcPr>
            <w:tcW w:w="3600" w:type="dxa"/>
          </w:tcPr>
          <w:p>
            <w:r>
              <w:t xml:space="preserve">Read/unread state persists correctly across sessions.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UAT-060</w:t>
            </w:r>
          </w:p>
        </w:tc>
        <w:tc>
          <w:tcPr>
            <w:tcW w:w="700" w:type="dxa"/>
          </w:tcPr>
          <w:p>
            <w:r>
              <w:t xml:space="preserve">M13</w:t>
            </w:r>
          </w:p>
        </w:tc>
        <w:tc>
          <w:tcPr>
            <w:tcW w:w="1100" w:type="dxa"/>
          </w:tcPr>
          <w:p>
            <w:r>
              <w:t xml:space="preserve">Permission</w:t>
            </w:r>
          </w:p>
        </w:tc>
        <w:tc>
          <w:tcPr>
            <w:tcW w:w="3600" w:type="dxa"/>
          </w:tcPr>
          <w:p>
            <w:r>
              <w:t xml:space="preserve">A client-role user sees only their own entity data on dashboards.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UAT-061</w:t>
            </w:r>
          </w:p>
        </w:tc>
        <w:tc>
          <w:tcPr>
            <w:tcW w:w="700" w:type="dxa"/>
          </w:tcPr>
          <w:p>
            <w:r>
              <w:t xml:space="preserve">M13</w:t>
            </w:r>
          </w:p>
        </w:tc>
        <w:tc>
          <w:tcPr>
            <w:tcW w:w="1100" w:type="dxa"/>
          </w:tcPr>
          <w:p>
            <w:r>
              <w:t xml:space="preserve">Validation</w:t>
            </w:r>
          </w:p>
        </w:tc>
        <w:tc>
          <w:tcPr>
            <w:tcW w:w="3600" w:type="dxa"/>
          </w:tcPr>
          <w:p>
            <w:r>
              <w:t xml:space="preserve">Export produces a file consistent with the on-screen summary counts.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UAT-062</w:t>
            </w:r>
          </w:p>
        </w:tc>
        <w:tc>
          <w:tcPr>
            <w:tcW w:w="700" w:type="dxa"/>
          </w:tcPr>
          <w:p>
            <w:r>
              <w:t xml:space="preserve">M14</w:t>
            </w:r>
          </w:p>
        </w:tc>
        <w:tc>
          <w:tcPr>
            <w:tcW w:w="1100" w:type="dxa"/>
          </w:tcPr>
          <w:p>
            <w:r>
              <w:t xml:space="preserve">Negative</w:t>
            </w:r>
          </w:p>
        </w:tc>
        <w:tc>
          <w:tcPr>
            <w:tcW w:w="3600" w:type="dxa"/>
          </w:tcPr>
          <w:p>
            <w:r>
              <w:t xml:space="preserve">Audit-trail entries cannot be edited or deleted by any role.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UAT-063</w:t>
            </w:r>
          </w:p>
        </w:tc>
        <w:tc>
          <w:tcPr>
            <w:tcW w:w="700" w:type="dxa"/>
          </w:tcPr>
          <w:p>
            <w:r>
              <w:t xml:space="preserve">M14</w:t>
            </w:r>
          </w:p>
        </w:tc>
        <w:tc>
          <w:tcPr>
            <w:tcW w:w="1100" w:type="dxa"/>
          </w:tcPr>
          <w:p>
            <w:r>
              <w:t xml:space="preserve">Permission</w:t>
            </w:r>
          </w:p>
        </w:tc>
        <w:tc>
          <w:tcPr>
            <w:tcW w:w="3600" w:type="dxa"/>
          </w:tcPr>
          <w:p>
            <w:r>
              <w:t xml:space="preserve">Only authorised roles can view the firm-wide audit trail.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UAT-064</w:t>
            </w:r>
          </w:p>
        </w:tc>
        <w:tc>
          <w:tcPr>
            <w:tcW w:w="700" w:type="dxa"/>
          </w:tcPr>
          <w:p>
            <w:r>
              <w:t xml:space="preserve">M15</w:t>
            </w:r>
          </w:p>
        </w:tc>
        <w:tc>
          <w:tcPr>
            <w:tcW w:w="1100" w:type="dxa"/>
          </w:tcPr>
          <w:p>
            <w:r>
              <w:t xml:space="preserve">Validation</w:t>
            </w:r>
          </w:p>
        </w:tc>
        <w:tc>
          <w:tcPr>
            <w:tcW w:w="3600" w:type="dxa"/>
          </w:tcPr>
          <w:p>
            <w:r>
              <w:t xml:space="preserve">Configuration rejects a duplicate reference-list code.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UAT-065</w:t>
            </w:r>
          </w:p>
        </w:tc>
        <w:tc>
          <w:tcPr>
            <w:tcW w:w="700" w:type="dxa"/>
          </w:tcPr>
          <w:p>
            <w:r>
              <w:t xml:space="preserve">M15</w:t>
            </w:r>
          </w:p>
        </w:tc>
        <w:tc>
          <w:tcPr>
            <w:tcW w:w="1100" w:type="dxa"/>
          </w:tcPr>
          <w:p>
            <w:r>
              <w:t xml:space="preserve">Permission</w:t>
            </w:r>
          </w:p>
        </w:tc>
        <w:tc>
          <w:tcPr>
            <w:tcW w:w="3600" w:type="dxa"/>
          </w:tcPr>
          <w:p>
            <w:r>
              <w:t xml:space="preserve">A non-administrator cannot modify master configuration.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UAT-066</w:t>
            </w:r>
          </w:p>
        </w:tc>
        <w:tc>
          <w:tcPr>
            <w:tcW w:w="700" w:type="dxa"/>
          </w:tcPr>
          <w:p>
            <w:r>
              <w:t xml:space="preserve">M15</w:t>
            </w:r>
          </w:p>
        </w:tc>
        <w:tc>
          <w:tcPr>
            <w:tcW w:w="1100" w:type="dxa"/>
          </w:tcPr>
          <w:p>
            <w:r>
              <w:t xml:space="preserve">Negative</w:t>
            </w:r>
          </w:p>
        </w:tc>
        <w:tc>
          <w:tcPr>
            <w:tcW w:w="3600" w:type="dxa"/>
          </w:tcPr>
          <w:p>
            <w:r>
              <w:t xml:space="preserve">Removing a referenced master value is blocked while it is in use.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UAT-067</w:t>
            </w:r>
          </w:p>
        </w:tc>
        <w:tc>
          <w:tcPr>
            <w:tcW w:w="700" w:type="dxa"/>
          </w:tcPr>
          <w:p>
            <w:r>
              <w:t xml:space="preserve">M03</w:t>
            </w:r>
          </w:p>
        </w:tc>
        <w:tc>
          <w:tcPr>
            <w:tcW w:w="1100" w:type="dxa"/>
          </w:tcPr>
          <w:p>
            <w:r>
              <w:t xml:space="preserve">Boundary</w:t>
            </w:r>
          </w:p>
        </w:tc>
        <w:tc>
          <w:tcPr>
            <w:tcW w:w="3600" w:type="dxa"/>
          </w:tcPr>
          <w:p>
            <w:r>
              <w:t xml:space="preserve">PAN field enforces exactly ten alphanumeric characters.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UAT-068</w:t>
            </w:r>
          </w:p>
        </w:tc>
        <w:tc>
          <w:tcPr>
            <w:tcW w:w="700" w:type="dxa"/>
          </w:tcPr>
          <w:p>
            <w:r>
              <w:t xml:space="preserve">M02</w:t>
            </w:r>
          </w:p>
        </w:tc>
        <w:tc>
          <w:tcPr>
            <w:tcW w:w="1100" w:type="dxa"/>
          </w:tcPr>
          <w:p>
            <w:r>
              <w:t xml:space="preserve">Negative</w:t>
            </w:r>
          </w:p>
        </w:tc>
        <w:tc>
          <w:tcPr>
            <w:tcW w:w="3600" w:type="dxa"/>
          </w:tcPr>
          <w:p>
            <w:r>
              <w:t xml:space="preserve">Onboarding cannot be submitted with all mandatory fields blank.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UAT-069</w:t>
            </w:r>
          </w:p>
        </w:tc>
        <w:tc>
          <w:tcPr>
            <w:tcW w:w="700" w:type="dxa"/>
          </w:tcPr>
          <w:p>
            <w:r>
              <w:t xml:space="preserve">M07</w:t>
            </w:r>
          </w:p>
        </w:tc>
        <w:tc>
          <w:tcPr>
            <w:tcW w:w="1100" w:type="dxa"/>
          </w:tcPr>
          <w:p>
            <w:r>
              <w:t xml:space="preserve">Validation</w:t>
            </w:r>
          </w:p>
        </w:tc>
        <w:tc>
          <w:tcPr>
            <w:tcW w:w="3600" w:type="dxa"/>
          </w:tcPr>
          <w:p>
            <w:r>
              <w:t xml:space="preserve">Engagement requires a start date not earlier than the entity's incorporation date.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High</w:t>
            </w:r>
          </w:p>
        </w:tc>
      </w:tr>
      <w:tr>
        <w:tc>
          <w:tcPr>
            <w:tcW w:w="900" w:type="dxa"/>
          </w:tcPr>
          <w:p>
            <w:r>
              <w:t xml:space="preserve">UAT-070</w:t>
            </w:r>
          </w:p>
        </w:tc>
        <w:tc>
          <w:tcPr>
            <w:tcW w:w="700" w:type="dxa"/>
          </w:tcPr>
          <w:p>
            <w:r>
              <w:t xml:space="preserve">M09</w:t>
            </w:r>
          </w:p>
        </w:tc>
        <w:tc>
          <w:tcPr>
            <w:tcW w:w="1100" w:type="dxa"/>
          </w:tcPr>
          <w:p>
            <w:r>
              <w:t xml:space="preserve">Boundary</w:t>
            </w:r>
          </w:p>
        </w:tc>
        <w:tc>
          <w:tcPr>
            <w:tcW w:w="3600" w:type="dxa"/>
          </w:tcPr>
          <w:p>
            <w:r>
              <w:t xml:space="preserve">GST period uniqueness is enforced per entity and tax period.</w:t>
            </w:r>
          </w:p>
        </w:tc>
        <w:tc>
          <w:tcPr>
            <w:tcW w:w="2700" w:type="dxa"/>
          </w:tcPr>
          <w:p>
            <w:r>
              <w:t xml:space="preserve">Behaviour matches the documented rule; invalid input is blocked with a clear message.</w:t>
            </w:r>
          </w:p>
        </w:tc>
        <w:tc>
          <w:tcPr>
            <w:tcW w:w="900" w:type="dxa"/>
          </w:tcPr>
          <w:p>
            <w:r>
              <w:t xml:space="preserve">Medium</w:t>
            </w:r>
          </w:p>
        </w:tc>
      </w:tr>
    </w:tbl>
    <w:p/>
    <w:p>
      <w:pPr>
        <w:pStyle w:val="Heading1"/>
      </w:pPr>
      <w:r>
        <w:t xml:space="preserve">5. Mandatory Validation Mappings (28 Mappings)</w:t>
      </w:r>
    </w:p>
    <w:tbl>
      <w:tblPr>
        <w:tblW w:w="91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0"/>
        <w:gridCol w:w="4200"/>
        <w:gridCol w:w="800"/>
        <w:gridCol w:w="2200"/>
        <w:gridCol w:w="1100"/>
      </w:tblGrid>
      <w:tr>
        <w:trPr>
          <w:tblHeader/>
        </w:trPr>
        <w:tc>
          <w:tcPr>
            <w:tcW w:w="800" w:type="dxa"/>
          </w:tcPr>
          <w:p>
            <w:r>
              <w:rPr>
                <w:b/>
              </w:rPr>
              <w:t xml:space="preserve">MV ID</w:t>
            </w:r>
          </w:p>
        </w:tc>
        <w:tc>
          <w:tcPr>
            <w:tcW w:w="4200" w:type="dxa"/>
          </w:tcPr>
          <w:p>
            <w:r>
              <w:rPr>
                <w:b/>
              </w:rPr>
              <w:t xml:space="preserve">Validation Rule</w:t>
            </w:r>
          </w:p>
        </w:tc>
        <w:tc>
          <w:tcPr>
            <w:tcW w:w="800" w:type="dxa"/>
          </w:tcPr>
          <w:p>
            <w:r>
              <w:rPr>
                <w:b/>
              </w:rPr>
              <w:t xml:space="preserve">Module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1100" w:type="dxa"/>
          </w:tcPr>
          <w:p>
            <w:r>
              <w:rPr>
                <w:b/>
              </w:rPr>
              <w:t xml:space="preserve">UAT Case</w:t>
            </w:r>
          </w:p>
        </w:tc>
      </w:tr>
      <w:tr>
        <w:tc>
          <w:tcPr>
            <w:tcW w:w="800" w:type="dxa"/>
          </w:tcPr>
          <w:p>
            <w:r>
              <w:t xml:space="preserve">MV-01</w:t>
            </w:r>
          </w:p>
        </w:tc>
        <w:tc>
          <w:tcPr>
            <w:tcW w:w="4200" w:type="dxa"/>
          </w:tcPr>
          <w:p>
            <w:r>
              <w:t xml:space="preserve">PAN format (10 alphanumeric, AAAAA9999A)</w:t>
            </w:r>
          </w:p>
        </w:tc>
        <w:tc>
          <w:tcPr>
            <w:tcW w:w="800" w:type="dxa"/>
          </w:tcPr>
          <w:p>
            <w:r>
              <w:t xml:space="preserve">M02</w:t>
            </w:r>
          </w:p>
        </w:tc>
        <w:tc>
          <w:tcPr>
            <w:tcW w:w="2200" w:type="dxa"/>
          </w:tcPr>
          <w:p>
            <w:r>
              <w:t xml:space="preserve">client.pan</w:t>
            </w:r>
          </w:p>
        </w:tc>
        <w:tc>
          <w:tcPr>
            <w:tcW w:w="1100" w:type="dxa"/>
          </w:tcPr>
          <w:p>
            <w:r>
              <w:t xml:space="preserve">UAT-031</w:t>
            </w:r>
          </w:p>
        </w:tc>
      </w:tr>
      <w:tr>
        <w:tc>
          <w:tcPr>
            <w:tcW w:w="800" w:type="dxa"/>
          </w:tcPr>
          <w:p>
            <w:r>
              <w:t xml:space="preserve">MV-02</w:t>
            </w:r>
          </w:p>
        </w:tc>
        <w:tc>
          <w:tcPr>
            <w:tcW w:w="4200" w:type="dxa"/>
          </w:tcPr>
          <w:p>
            <w:r>
              <w:t xml:space="preserve">GSTIN format (15 chars, state+PAN+entity)</w:t>
            </w:r>
          </w:p>
        </w:tc>
        <w:tc>
          <w:tcPr>
            <w:tcW w:w="800" w:type="dxa"/>
          </w:tcPr>
          <w:p>
            <w:r>
              <w:t xml:space="preserve">M02</w:t>
            </w:r>
          </w:p>
        </w:tc>
        <w:tc>
          <w:tcPr>
            <w:tcW w:w="2200" w:type="dxa"/>
          </w:tcPr>
          <w:p>
            <w:r>
              <w:t xml:space="preserve">client.gstin</w:t>
            </w:r>
          </w:p>
        </w:tc>
        <w:tc>
          <w:tcPr>
            <w:tcW w:w="1100" w:type="dxa"/>
          </w:tcPr>
          <w:p>
            <w:r>
              <w:t xml:space="preserve">UAT-032</w:t>
            </w:r>
          </w:p>
        </w:tc>
      </w:tr>
      <w:tr>
        <w:tc>
          <w:tcPr>
            <w:tcW w:w="800" w:type="dxa"/>
          </w:tcPr>
          <w:p>
            <w:r>
              <w:t xml:space="preserve">MV-03</w:t>
            </w:r>
          </w:p>
        </w:tc>
        <w:tc>
          <w:tcPr>
            <w:tcW w:w="4200" w:type="dxa"/>
          </w:tcPr>
          <w:p>
            <w:r>
              <w:t xml:space="preserve">Duplicate PAN prevention</w:t>
            </w:r>
          </w:p>
        </w:tc>
        <w:tc>
          <w:tcPr>
            <w:tcW w:w="800" w:type="dxa"/>
          </w:tcPr>
          <w:p>
            <w:r>
              <w:t xml:space="preserve">M02</w:t>
            </w:r>
          </w:p>
        </w:tc>
        <w:tc>
          <w:tcPr>
            <w:tcW w:w="2200" w:type="dxa"/>
          </w:tcPr>
          <w:p>
            <w:r>
              <w:t xml:space="preserve">client.pan</w:t>
            </w:r>
          </w:p>
        </w:tc>
        <w:tc>
          <w:tcPr>
            <w:tcW w:w="1100" w:type="dxa"/>
          </w:tcPr>
          <w:p>
            <w:r>
              <w:t xml:space="preserve">UAT-033</w:t>
            </w:r>
          </w:p>
        </w:tc>
      </w:tr>
      <w:tr>
        <w:tc>
          <w:tcPr>
            <w:tcW w:w="800" w:type="dxa"/>
          </w:tcPr>
          <w:p>
            <w:r>
              <w:t xml:space="preserve">MV-04</w:t>
            </w:r>
          </w:p>
        </w:tc>
        <w:tc>
          <w:tcPr>
            <w:tcW w:w="4200" w:type="dxa"/>
          </w:tcPr>
          <w:p>
            <w:r>
              <w:t xml:space="preserve">CIN format validity</w:t>
            </w:r>
          </w:p>
        </w:tc>
        <w:tc>
          <w:tcPr>
            <w:tcW w:w="800" w:type="dxa"/>
          </w:tcPr>
          <w:p>
            <w:r>
              <w:t xml:space="preserve">M03</w:t>
            </w:r>
          </w:p>
        </w:tc>
        <w:tc>
          <w:tcPr>
            <w:tcW w:w="2200" w:type="dxa"/>
          </w:tcPr>
          <w:p>
            <w:r>
              <w:t xml:space="preserve">entity.cin</w:t>
            </w:r>
          </w:p>
        </w:tc>
        <w:tc>
          <w:tcPr>
            <w:tcW w:w="1100" w:type="dxa"/>
          </w:tcPr>
          <w:p>
            <w:r>
              <w:t xml:space="preserve">UAT-034</w:t>
            </w:r>
          </w:p>
        </w:tc>
      </w:tr>
      <w:tr>
        <w:tc>
          <w:tcPr>
            <w:tcW w:w="800" w:type="dxa"/>
          </w:tcPr>
          <w:p>
            <w:r>
              <w:t xml:space="preserve">MV-05</w:t>
            </w:r>
          </w:p>
        </w:tc>
        <w:tc>
          <w:tcPr>
            <w:tcW w:w="4200" w:type="dxa"/>
          </w:tcPr>
          <w:p>
            <w:r>
              <w:t xml:space="preserve">Primary contact email format</w:t>
            </w:r>
          </w:p>
        </w:tc>
        <w:tc>
          <w:tcPr>
            <w:tcW w:w="800" w:type="dxa"/>
          </w:tcPr>
          <w:p>
            <w:r>
              <w:t xml:space="preserve">M03</w:t>
            </w:r>
          </w:p>
        </w:tc>
        <w:tc>
          <w:tcPr>
            <w:tcW w:w="2200" w:type="dxa"/>
          </w:tcPr>
          <w:p>
            <w:r>
              <w:t xml:space="preserve">entity.email</w:t>
            </w:r>
          </w:p>
        </w:tc>
        <w:tc>
          <w:tcPr>
            <w:tcW w:w="1100" w:type="dxa"/>
          </w:tcPr>
          <w:p>
            <w:r>
              <w:t xml:space="preserve">UAT-035</w:t>
            </w:r>
          </w:p>
        </w:tc>
      </w:tr>
      <w:tr>
        <w:tc>
          <w:tcPr>
            <w:tcW w:w="800" w:type="dxa"/>
          </w:tcPr>
          <w:p>
            <w:r>
              <w:t xml:space="preserve">MV-06</w:t>
            </w:r>
          </w:p>
        </w:tc>
        <w:tc>
          <w:tcPr>
            <w:tcW w:w="4200" w:type="dxa"/>
          </w:tcPr>
          <w:p>
            <w:r>
              <w:t xml:space="preserve">Date of incorporation not in future</w:t>
            </w:r>
          </w:p>
        </w:tc>
        <w:tc>
          <w:tcPr>
            <w:tcW w:w="800" w:type="dxa"/>
          </w:tcPr>
          <w:p>
            <w:r>
              <w:t xml:space="preserve">M03</w:t>
            </w:r>
          </w:p>
        </w:tc>
        <w:tc>
          <w:tcPr>
            <w:tcW w:w="2200" w:type="dxa"/>
          </w:tcPr>
          <w:p>
            <w:r>
              <w:t xml:space="preserve">entity.doi</w:t>
            </w:r>
          </w:p>
        </w:tc>
        <w:tc>
          <w:tcPr>
            <w:tcW w:w="1100" w:type="dxa"/>
          </w:tcPr>
          <w:p>
            <w:r>
              <w:t xml:space="preserve">UAT-036</w:t>
            </w:r>
          </w:p>
        </w:tc>
      </w:tr>
      <w:tr>
        <w:tc>
          <w:tcPr>
            <w:tcW w:w="800" w:type="dxa"/>
          </w:tcPr>
          <w:p>
            <w:r>
              <w:t xml:space="preserve">MV-07</w:t>
            </w:r>
          </w:p>
        </w:tc>
        <w:tc>
          <w:tcPr>
            <w:tcW w:w="4200" w:type="dxa"/>
          </w:tcPr>
          <w:p>
            <w:r>
              <w:t xml:space="preserve">PAN length exactly ten characters</w:t>
            </w:r>
          </w:p>
        </w:tc>
        <w:tc>
          <w:tcPr>
            <w:tcW w:w="800" w:type="dxa"/>
          </w:tcPr>
          <w:p>
            <w:r>
              <w:t xml:space="preserve">M03</w:t>
            </w:r>
          </w:p>
        </w:tc>
        <w:tc>
          <w:tcPr>
            <w:tcW w:w="2200" w:type="dxa"/>
          </w:tcPr>
          <w:p>
            <w:r>
              <w:t xml:space="preserve">entity.pan</w:t>
            </w:r>
          </w:p>
        </w:tc>
        <w:tc>
          <w:tcPr>
            <w:tcW w:w="1100" w:type="dxa"/>
          </w:tcPr>
          <w:p>
            <w:r>
              <w:t xml:space="preserve">UAT-061</w:t>
            </w:r>
          </w:p>
        </w:tc>
      </w:tr>
      <w:tr>
        <w:tc>
          <w:tcPr>
            <w:tcW w:w="800" w:type="dxa"/>
          </w:tcPr>
          <w:p>
            <w:r>
              <w:t xml:space="preserve">MV-08</w:t>
            </w:r>
          </w:p>
        </w:tc>
        <w:tc>
          <w:tcPr>
            <w:tcW w:w="4200" w:type="dxa"/>
          </w:tcPr>
          <w:p>
            <w:r>
              <w:t xml:space="preserve">Vault file-type allow-list</w:t>
            </w:r>
          </w:p>
        </w:tc>
        <w:tc>
          <w:tcPr>
            <w:tcW w:w="800" w:type="dxa"/>
          </w:tcPr>
          <w:p>
            <w:r>
              <w:t xml:space="preserve">M04</w:t>
            </w:r>
          </w:p>
        </w:tc>
        <w:tc>
          <w:tcPr>
            <w:tcW w:w="2200" w:type="dxa"/>
          </w:tcPr>
          <w:p>
            <w:r>
              <w:t xml:space="preserve">document.type</w:t>
            </w:r>
          </w:p>
        </w:tc>
        <w:tc>
          <w:tcPr>
            <w:tcW w:w="1100" w:type="dxa"/>
          </w:tcPr>
          <w:p>
            <w:r>
              <w:t xml:space="preserve">UAT-040</w:t>
            </w:r>
          </w:p>
        </w:tc>
      </w:tr>
      <w:tr>
        <w:tc>
          <w:tcPr>
            <w:tcW w:w="800" w:type="dxa"/>
          </w:tcPr>
          <w:p>
            <w:r>
              <w:t xml:space="preserve">MV-09</w:t>
            </w:r>
          </w:p>
        </w:tc>
        <w:tc>
          <w:tcPr>
            <w:tcW w:w="4200" w:type="dxa"/>
          </w:tcPr>
          <w:p>
            <w:r>
              <w:t xml:space="preserve">Vault maximum file-size limit</w:t>
            </w:r>
          </w:p>
        </w:tc>
        <w:tc>
          <w:tcPr>
            <w:tcW w:w="800" w:type="dxa"/>
          </w:tcPr>
          <w:p>
            <w:r>
              <w:t xml:space="preserve">M04</w:t>
            </w:r>
          </w:p>
        </w:tc>
        <w:tc>
          <w:tcPr>
            <w:tcW w:w="2200" w:type="dxa"/>
          </w:tcPr>
          <w:p>
            <w:r>
              <w:t xml:space="preserve">document.size</w:t>
            </w:r>
          </w:p>
        </w:tc>
        <w:tc>
          <w:tcPr>
            <w:tcW w:w="1100" w:type="dxa"/>
          </w:tcPr>
          <w:p>
            <w:r>
              <w:t xml:space="preserve">UAT-041</w:t>
            </w:r>
          </w:p>
        </w:tc>
      </w:tr>
      <w:tr>
        <w:tc>
          <w:tcPr>
            <w:tcW w:w="800" w:type="dxa"/>
          </w:tcPr>
          <w:p>
            <w:r>
              <w:t xml:space="preserve">MV-10</w:t>
            </w:r>
          </w:p>
        </w:tc>
        <w:tc>
          <w:tcPr>
            <w:tcW w:w="4200" w:type="dxa"/>
          </w:tcPr>
          <w:p>
            <w:r>
              <w:t xml:space="preserve">Calendar entity + obligation required</w:t>
            </w:r>
          </w:p>
        </w:tc>
        <w:tc>
          <w:tcPr>
            <w:tcW w:w="800" w:type="dxa"/>
          </w:tcPr>
          <w:p>
            <w:r>
              <w:t xml:space="preserve">M05</w:t>
            </w:r>
          </w:p>
        </w:tc>
        <w:tc>
          <w:tcPr>
            <w:tcW w:w="2200" w:type="dxa"/>
          </w:tcPr>
          <w:p>
            <w:r>
              <w:t xml:space="preserve">calendar.obligation</w:t>
            </w:r>
          </w:p>
        </w:tc>
        <w:tc>
          <w:tcPr>
            <w:tcW w:w="1100" w:type="dxa"/>
          </w:tcPr>
          <w:p>
            <w:r>
              <w:t xml:space="preserve">UAT-043</w:t>
            </w:r>
          </w:p>
        </w:tc>
      </w:tr>
      <w:tr>
        <w:tc>
          <w:tcPr>
            <w:tcW w:w="800" w:type="dxa"/>
          </w:tcPr>
          <w:p>
            <w:r>
              <w:t xml:space="preserve">MV-11</w:t>
            </w:r>
          </w:p>
        </w:tc>
        <w:tc>
          <w:tcPr>
            <w:tcW w:w="4200" w:type="dxa"/>
          </w:tcPr>
          <w:p>
            <w:r>
              <w:t xml:space="preserve">Task title + assignee required</w:t>
            </w:r>
          </w:p>
        </w:tc>
        <w:tc>
          <w:tcPr>
            <w:tcW w:w="800" w:type="dxa"/>
          </w:tcPr>
          <w:p>
            <w:r>
              <w:t xml:space="preserve">M06</w:t>
            </w:r>
          </w:p>
        </w:tc>
        <w:tc>
          <w:tcPr>
            <w:tcW w:w="2200" w:type="dxa"/>
          </w:tcPr>
          <w:p>
            <w:r>
              <w:t xml:space="preserve">task.title</w:t>
            </w:r>
          </w:p>
        </w:tc>
        <w:tc>
          <w:tcPr>
            <w:tcW w:w="1100" w:type="dxa"/>
          </w:tcPr>
          <w:p>
            <w:r>
              <w:t xml:space="preserve">UAT-046</w:t>
            </w:r>
          </w:p>
        </w:tc>
      </w:tr>
      <w:tr>
        <w:tc>
          <w:tcPr>
            <w:tcW w:w="800" w:type="dxa"/>
          </w:tcPr>
          <w:p>
            <w:r>
              <w:t xml:space="preserve">MV-12</w:t>
            </w:r>
          </w:p>
        </w:tc>
        <w:tc>
          <w:tcPr>
            <w:tcW w:w="4200" w:type="dxa"/>
          </w:tcPr>
          <w:p>
            <w:r>
              <w:t xml:space="preserve">Task review-complete before close</w:t>
            </w:r>
          </w:p>
        </w:tc>
        <w:tc>
          <w:tcPr>
            <w:tcW w:w="800" w:type="dxa"/>
          </w:tcPr>
          <w:p>
            <w:r>
              <w:t xml:space="preserve">M06</w:t>
            </w:r>
          </w:p>
        </w:tc>
        <w:tc>
          <w:tcPr>
            <w:tcW w:w="2200" w:type="dxa"/>
          </w:tcPr>
          <w:p>
            <w:r>
              <w:t xml:space="preserve">task.status</w:t>
            </w:r>
          </w:p>
        </w:tc>
        <w:tc>
          <w:tcPr>
            <w:tcW w:w="1100" w:type="dxa"/>
          </w:tcPr>
          <w:p>
            <w:r>
              <w:t xml:space="preserve">UAT-047</w:t>
            </w:r>
          </w:p>
        </w:tc>
      </w:tr>
      <w:tr>
        <w:tc>
          <w:tcPr>
            <w:tcW w:w="800" w:type="dxa"/>
          </w:tcPr>
          <w:p>
            <w:r>
              <w:t xml:space="preserve">MV-13</w:t>
            </w:r>
          </w:p>
        </w:tc>
        <w:tc>
          <w:tcPr>
            <w:tcW w:w="4200" w:type="dxa"/>
          </w:tcPr>
          <w:p>
            <w:r>
              <w:t xml:space="preserve">Invoice positive amount + currency unit</w:t>
            </w:r>
          </w:p>
        </w:tc>
        <w:tc>
          <w:tcPr>
            <w:tcW w:w="800" w:type="dxa"/>
          </w:tcPr>
          <w:p>
            <w:r>
              <w:t xml:space="preserve">M07</w:t>
            </w:r>
          </w:p>
        </w:tc>
        <w:tc>
          <w:tcPr>
            <w:tcW w:w="2200" w:type="dxa"/>
          </w:tcPr>
          <w:p>
            <w:r>
              <w:t xml:space="preserve">invoice.amount</w:t>
            </w:r>
          </w:p>
        </w:tc>
        <w:tc>
          <w:tcPr>
            <w:tcW w:w="1100" w:type="dxa"/>
          </w:tcPr>
          <w:p>
            <w:r>
              <w:t xml:space="preserve">UAT-049</w:t>
            </w:r>
          </w:p>
        </w:tc>
      </w:tr>
      <w:tr>
        <w:tc>
          <w:tcPr>
            <w:tcW w:w="800" w:type="dxa"/>
          </w:tcPr>
          <w:p>
            <w:r>
              <w:t xml:space="preserve">MV-14</w:t>
            </w:r>
          </w:p>
        </w:tc>
        <w:tc>
          <w:tcPr>
            <w:tcW w:w="4200" w:type="dxa"/>
          </w:tcPr>
          <w:p>
            <w:r>
              <w:t xml:space="preserve">Engagement start not before incorporation</w:t>
            </w:r>
          </w:p>
        </w:tc>
        <w:tc>
          <w:tcPr>
            <w:tcW w:w="800" w:type="dxa"/>
          </w:tcPr>
          <w:p>
            <w:r>
              <w:t xml:space="preserve">M07</w:t>
            </w:r>
          </w:p>
        </w:tc>
        <w:tc>
          <w:tcPr>
            <w:tcW w:w="2200" w:type="dxa"/>
          </w:tcPr>
          <w:p>
            <w:r>
              <w:t xml:space="preserve">engagement.start</w:t>
            </w:r>
          </w:p>
        </w:tc>
        <w:tc>
          <w:tcPr>
            <w:tcW w:w="1100" w:type="dxa"/>
          </w:tcPr>
          <w:p>
            <w:r>
              <w:t xml:space="preserve">UAT-063</w:t>
            </w:r>
          </w:p>
        </w:tc>
      </w:tr>
      <w:tr>
        <w:tc>
          <w:tcPr>
            <w:tcW w:w="800" w:type="dxa"/>
          </w:tcPr>
          <w:p>
            <w:r>
              <w:t xml:space="preserve">MV-15</w:t>
            </w:r>
          </w:p>
        </w:tc>
        <w:tc>
          <w:tcPr>
            <w:tcW w:w="4200" w:type="dxa"/>
          </w:tcPr>
          <w:p>
            <w:r>
              <w:t xml:space="preserve">Review note non-empty + author</w:t>
            </w:r>
          </w:p>
        </w:tc>
        <w:tc>
          <w:tcPr>
            <w:tcW w:w="800" w:type="dxa"/>
          </w:tcPr>
          <w:p>
            <w:r>
              <w:t xml:space="preserve">M08</w:t>
            </w:r>
          </w:p>
        </w:tc>
        <w:tc>
          <w:tcPr>
            <w:tcW w:w="2200" w:type="dxa"/>
          </w:tcPr>
          <w:p>
            <w:r>
              <w:t xml:space="preserve">review.note</w:t>
            </w:r>
          </w:p>
        </w:tc>
        <w:tc>
          <w:tcPr>
            <w:tcW w:w="1100" w:type="dxa"/>
          </w:tcPr>
          <w:p>
            <w:r>
              <w:t xml:space="preserve">UAT-052</w:t>
            </w:r>
          </w:p>
        </w:tc>
      </w:tr>
      <w:tr>
        <w:tc>
          <w:tcPr>
            <w:tcW w:w="800" w:type="dxa"/>
          </w:tcPr>
          <w:p>
            <w:r>
              <w:t xml:space="preserve">MV-16</w:t>
            </w:r>
          </w:p>
        </w:tc>
        <w:tc>
          <w:tcPr>
            <w:tcW w:w="4200" w:type="dxa"/>
          </w:tcPr>
          <w:p>
            <w:r>
              <w:t xml:space="preserve">No reviewed status with open notes</w:t>
            </w:r>
          </w:p>
        </w:tc>
        <w:tc>
          <w:tcPr>
            <w:tcW w:w="800" w:type="dxa"/>
          </w:tcPr>
          <w:p>
            <w:r>
              <w:t xml:space="preserve">M08</w:t>
            </w:r>
          </w:p>
        </w:tc>
        <w:tc>
          <w:tcPr>
            <w:tcW w:w="2200" w:type="dxa"/>
          </w:tcPr>
          <w:p>
            <w:r>
              <w:t xml:space="preserve">financials.status</w:t>
            </w:r>
          </w:p>
        </w:tc>
        <w:tc>
          <w:tcPr>
            <w:tcW w:w="1100" w:type="dxa"/>
          </w:tcPr>
          <w:p>
            <w:r>
              <w:t xml:space="preserve">UAT-053</w:t>
            </w:r>
          </w:p>
        </w:tc>
      </w:tr>
      <w:tr>
        <w:tc>
          <w:tcPr>
            <w:tcW w:w="800" w:type="dxa"/>
          </w:tcPr>
          <w:p>
            <w:r>
              <w:t xml:space="preserve">MV-17</w:t>
            </w:r>
          </w:p>
        </w:tc>
        <w:tc>
          <w:tcPr>
            <w:tcW w:w="4200" w:type="dxa"/>
          </w:tcPr>
          <w:p>
            <w:r>
              <w:t xml:space="preserve">GST return type + tax period required</w:t>
            </w:r>
          </w:p>
        </w:tc>
        <w:tc>
          <w:tcPr>
            <w:tcW w:w="800" w:type="dxa"/>
          </w:tcPr>
          <w:p>
            <w:r>
              <w:t xml:space="preserve">M09</w:t>
            </w:r>
          </w:p>
        </w:tc>
        <w:tc>
          <w:tcPr>
            <w:tcW w:w="2200" w:type="dxa"/>
          </w:tcPr>
          <w:p>
            <w:r>
              <w:t xml:space="preserve">gst.period</w:t>
            </w:r>
          </w:p>
        </w:tc>
        <w:tc>
          <w:tcPr>
            <w:tcW w:w="1100" w:type="dxa"/>
          </w:tcPr>
          <w:p>
            <w:r>
              <w:t xml:space="preserve">UAT-054</w:t>
            </w:r>
          </w:p>
        </w:tc>
      </w:tr>
      <w:tr>
        <w:tc>
          <w:tcPr>
            <w:tcW w:w="800" w:type="dxa"/>
          </w:tcPr>
          <w:p>
            <w:r>
              <w:t xml:space="preserve">MV-18</w:t>
            </w:r>
          </w:p>
        </w:tc>
        <w:tc>
          <w:tcPr>
            <w:tcW w:w="4200" w:type="dxa"/>
          </w:tcPr>
          <w:p>
            <w:r>
              <w:t xml:space="preserve">GST filed requires acknowledgement ref</w:t>
            </w:r>
          </w:p>
        </w:tc>
        <w:tc>
          <w:tcPr>
            <w:tcW w:w="800" w:type="dxa"/>
          </w:tcPr>
          <w:p>
            <w:r>
              <w:t xml:space="preserve">M09</w:t>
            </w:r>
          </w:p>
        </w:tc>
        <w:tc>
          <w:tcPr>
            <w:tcW w:w="2200" w:type="dxa"/>
          </w:tcPr>
          <w:p>
            <w:r>
              <w:t xml:space="preserve">gst.ack</w:t>
            </w:r>
          </w:p>
        </w:tc>
        <w:tc>
          <w:tcPr>
            <w:tcW w:w="1100" w:type="dxa"/>
          </w:tcPr>
          <w:p>
            <w:r>
              <w:t xml:space="preserve">UAT-055</w:t>
            </w:r>
          </w:p>
        </w:tc>
      </w:tr>
      <w:tr>
        <w:tc>
          <w:tcPr>
            <w:tcW w:w="800" w:type="dxa"/>
          </w:tcPr>
          <w:p>
            <w:r>
              <w:t xml:space="preserve">MV-19</w:t>
            </w:r>
          </w:p>
        </w:tc>
        <w:tc>
          <w:tcPr>
            <w:tcW w:w="4200" w:type="dxa"/>
          </w:tcPr>
          <w:p>
            <w:r>
              <w:t xml:space="preserve">GST period uniqueness per entity</w:t>
            </w:r>
          </w:p>
        </w:tc>
        <w:tc>
          <w:tcPr>
            <w:tcW w:w="800" w:type="dxa"/>
          </w:tcPr>
          <w:p>
            <w:r>
              <w:t xml:space="preserve">M09</w:t>
            </w:r>
          </w:p>
        </w:tc>
        <w:tc>
          <w:tcPr>
            <w:tcW w:w="2200" w:type="dxa"/>
          </w:tcPr>
          <w:p>
            <w:r>
              <w:t xml:space="preserve">gst.unique</w:t>
            </w:r>
          </w:p>
        </w:tc>
        <w:tc>
          <w:tcPr>
            <w:tcW w:w="1100" w:type="dxa"/>
          </w:tcPr>
          <w:p>
            <w:r>
              <w:t xml:space="preserve">UAT-064</w:t>
            </w:r>
          </w:p>
        </w:tc>
      </w:tr>
      <w:tr>
        <w:tc>
          <w:tcPr>
            <w:tcW w:w="800" w:type="dxa"/>
          </w:tcPr>
          <w:p>
            <w:r>
              <w:t xml:space="preserve">MV-20</w:t>
            </w:r>
          </w:p>
        </w:tc>
        <w:tc>
          <w:tcPr>
            <w:tcW w:w="4200" w:type="dxa"/>
          </w:tcPr>
          <w:p>
            <w:r>
              <w:t xml:space="preserve">ITR assessment year required</w:t>
            </w:r>
          </w:p>
        </w:tc>
        <w:tc>
          <w:tcPr>
            <w:tcW w:w="800" w:type="dxa"/>
          </w:tcPr>
          <w:p>
            <w:r>
              <w:t xml:space="preserve">M10</w:t>
            </w:r>
          </w:p>
        </w:tc>
        <w:tc>
          <w:tcPr>
            <w:tcW w:w="2200" w:type="dxa"/>
          </w:tcPr>
          <w:p>
            <w:r>
              <w:t xml:space="preserve">itr.ay</w:t>
            </w:r>
          </w:p>
        </w:tc>
        <w:tc>
          <w:tcPr>
            <w:tcW w:w="1100" w:type="dxa"/>
          </w:tcPr>
          <w:p>
            <w:r>
              <w:t xml:space="preserve">UAT-056</w:t>
            </w:r>
          </w:p>
        </w:tc>
      </w:tr>
      <w:tr>
        <w:tc>
          <w:tcPr>
            <w:tcW w:w="800" w:type="dxa"/>
          </w:tcPr>
          <w:p>
            <w:r>
              <w:t xml:space="preserve">MV-21</w:t>
            </w:r>
          </w:p>
        </w:tc>
        <w:tc>
          <w:tcPr>
            <w:tcW w:w="4200" w:type="dxa"/>
          </w:tcPr>
          <w:p>
            <w:r>
              <w:t xml:space="preserve">ITR filed requires acknowledgement ref</w:t>
            </w:r>
          </w:p>
        </w:tc>
        <w:tc>
          <w:tcPr>
            <w:tcW w:w="800" w:type="dxa"/>
          </w:tcPr>
          <w:p>
            <w:r>
              <w:t xml:space="preserve">M10</w:t>
            </w:r>
          </w:p>
        </w:tc>
        <w:tc>
          <w:tcPr>
            <w:tcW w:w="2200" w:type="dxa"/>
          </w:tcPr>
          <w:p>
            <w:r>
              <w:t xml:space="preserve">itr.ack</w:t>
            </w:r>
          </w:p>
        </w:tc>
        <w:tc>
          <w:tcPr>
            <w:tcW w:w="1100" w:type="dxa"/>
          </w:tcPr>
          <w:p>
            <w:r>
              <w:t xml:space="preserve">UAT-057</w:t>
            </w:r>
          </w:p>
        </w:tc>
      </w:tr>
      <w:tr>
        <w:tc>
          <w:tcPr>
            <w:tcW w:w="800" w:type="dxa"/>
          </w:tcPr>
          <w:p>
            <w:r>
              <w:t xml:space="preserve">MV-22</w:t>
            </w:r>
          </w:p>
        </w:tc>
        <w:tc>
          <w:tcPr>
            <w:tcW w:w="4200" w:type="dxa"/>
          </w:tcPr>
          <w:p>
            <w:r>
              <w:t xml:space="preserve">ROC form type + financial year required</w:t>
            </w:r>
          </w:p>
        </w:tc>
        <w:tc>
          <w:tcPr>
            <w:tcW w:w="800" w:type="dxa"/>
          </w:tcPr>
          <w:p>
            <w:r>
              <w:t xml:space="preserve">M11</w:t>
            </w:r>
          </w:p>
        </w:tc>
        <w:tc>
          <w:tcPr>
            <w:tcW w:w="2200" w:type="dxa"/>
          </w:tcPr>
          <w:p>
            <w:r>
              <w:t xml:space="preserve">roc.form</w:t>
            </w:r>
          </w:p>
        </w:tc>
        <w:tc>
          <w:tcPr>
            <w:tcW w:w="1100" w:type="dxa"/>
          </w:tcPr>
          <w:p>
            <w:r>
              <w:t xml:space="preserve">UAT-058</w:t>
            </w:r>
          </w:p>
        </w:tc>
      </w:tr>
      <w:tr>
        <w:tc>
          <w:tcPr>
            <w:tcW w:w="800" w:type="dxa"/>
          </w:tcPr>
          <w:p>
            <w:r>
              <w:t xml:space="preserve">MV-23</w:t>
            </w:r>
          </w:p>
        </w:tc>
        <w:tc>
          <w:tcPr>
            <w:tcW w:w="4200" w:type="dxa"/>
          </w:tcPr>
          <w:p>
            <w:r>
              <w:t xml:space="preserve">Notification addressee enforcement</w:t>
            </w:r>
          </w:p>
        </w:tc>
        <w:tc>
          <w:tcPr>
            <w:tcW w:w="800" w:type="dxa"/>
          </w:tcPr>
          <w:p>
            <w:r>
              <w:t xml:space="preserve">M12</w:t>
            </w:r>
          </w:p>
        </w:tc>
        <w:tc>
          <w:tcPr>
            <w:tcW w:w="2200" w:type="dxa"/>
          </w:tcPr>
          <w:p>
            <w:r>
              <w:t xml:space="preserve">notification.addressee</w:t>
            </w:r>
          </w:p>
        </w:tc>
        <w:tc>
          <w:tcPr>
            <w:tcW w:w="1100" w:type="dxa"/>
          </w:tcPr>
          <w:p>
            <w:r>
              <w:t xml:space="preserve">UAT-060</w:t>
            </w:r>
          </w:p>
        </w:tc>
      </w:tr>
      <w:tr>
        <w:tc>
          <w:tcPr>
            <w:tcW w:w="800" w:type="dxa"/>
          </w:tcPr>
          <w:p>
            <w:r>
              <w:t xml:space="preserve">MV-24</w:t>
            </w:r>
          </w:p>
        </w:tc>
        <w:tc>
          <w:tcPr>
            <w:tcW w:w="4200" w:type="dxa"/>
          </w:tcPr>
          <w:p>
            <w:r>
              <w:t xml:space="preserve">Export consistent with on-screen counts</w:t>
            </w:r>
          </w:p>
        </w:tc>
        <w:tc>
          <w:tcPr>
            <w:tcW w:w="800" w:type="dxa"/>
          </w:tcPr>
          <w:p>
            <w:r>
              <w:t xml:space="preserve">M13</w:t>
            </w:r>
          </w:p>
        </w:tc>
        <w:tc>
          <w:tcPr>
            <w:tcW w:w="2200" w:type="dxa"/>
          </w:tcPr>
          <w:p>
            <w:r>
              <w:t xml:space="preserve">report.export</w:t>
            </w:r>
          </w:p>
        </w:tc>
        <w:tc>
          <w:tcPr>
            <w:tcW w:w="1100" w:type="dxa"/>
          </w:tcPr>
          <w:p>
            <w:r>
              <w:t xml:space="preserve">UAT-066</w:t>
            </w:r>
          </w:p>
        </w:tc>
      </w:tr>
      <w:tr>
        <w:tc>
          <w:tcPr>
            <w:tcW w:w="800" w:type="dxa"/>
          </w:tcPr>
          <w:p>
            <w:r>
              <w:t xml:space="preserve">MV-25</w:t>
            </w:r>
          </w:p>
        </w:tc>
        <w:tc>
          <w:tcPr>
            <w:tcW w:w="4200" w:type="dxa"/>
          </w:tcPr>
          <w:p>
            <w:r>
              <w:t xml:space="preserve">Audit entries immutable</w:t>
            </w:r>
          </w:p>
        </w:tc>
        <w:tc>
          <w:tcPr>
            <w:tcW w:w="800" w:type="dxa"/>
          </w:tcPr>
          <w:p>
            <w:r>
              <w:t xml:space="preserve">M14</w:t>
            </w:r>
          </w:p>
        </w:tc>
        <w:tc>
          <w:tcPr>
            <w:tcW w:w="2200" w:type="dxa"/>
          </w:tcPr>
          <w:p>
            <w:r>
              <w:t xml:space="preserve">audit.entry</w:t>
            </w:r>
          </w:p>
        </w:tc>
        <w:tc>
          <w:tcPr>
            <w:tcW w:w="1100" w:type="dxa"/>
          </w:tcPr>
          <w:p>
            <w:r>
              <w:t xml:space="preserve">UAT-067</w:t>
            </w:r>
          </w:p>
        </w:tc>
      </w:tr>
      <w:tr>
        <w:tc>
          <w:tcPr>
            <w:tcW w:w="800" w:type="dxa"/>
          </w:tcPr>
          <w:p>
            <w:r>
              <w:t xml:space="preserve">MV-26</w:t>
            </w:r>
          </w:p>
        </w:tc>
        <w:tc>
          <w:tcPr>
            <w:tcW w:w="4200" w:type="dxa"/>
          </w:tcPr>
          <w:p>
            <w:r>
              <w:t xml:space="preserve">Configuration duplicate code rejection</w:t>
            </w:r>
          </w:p>
        </w:tc>
        <w:tc>
          <w:tcPr>
            <w:tcW w:w="800" w:type="dxa"/>
          </w:tcPr>
          <w:p>
            <w:r>
              <w:t xml:space="preserve">M15</w:t>
            </w:r>
          </w:p>
        </w:tc>
        <w:tc>
          <w:tcPr>
            <w:tcW w:w="2200" w:type="dxa"/>
          </w:tcPr>
          <w:p>
            <w:r>
              <w:t xml:space="preserve">config.code</w:t>
            </w:r>
          </w:p>
        </w:tc>
        <w:tc>
          <w:tcPr>
            <w:tcW w:w="1100" w:type="dxa"/>
          </w:tcPr>
          <w:p>
            <w:r>
              <w:t xml:space="preserve">UAT-069</w:t>
            </w:r>
          </w:p>
        </w:tc>
      </w:tr>
      <w:tr>
        <w:tc>
          <w:tcPr>
            <w:tcW w:w="800" w:type="dxa"/>
          </w:tcPr>
          <w:p>
            <w:r>
              <w:t xml:space="preserve">MV-27</w:t>
            </w:r>
          </w:p>
        </w:tc>
        <w:tc>
          <w:tcPr>
            <w:tcW w:w="4200" w:type="dxa"/>
          </w:tcPr>
          <w:p>
            <w:r>
              <w:t xml:space="preserve">Master value in-use deletion blocked</w:t>
            </w:r>
          </w:p>
        </w:tc>
        <w:tc>
          <w:tcPr>
            <w:tcW w:w="800" w:type="dxa"/>
          </w:tcPr>
          <w:p>
            <w:r>
              <w:t xml:space="preserve">M15</w:t>
            </w:r>
          </w:p>
        </w:tc>
        <w:tc>
          <w:tcPr>
            <w:tcW w:w="2200" w:type="dxa"/>
          </w:tcPr>
          <w:p>
            <w:r>
              <w:t xml:space="preserve">config.refdelete</w:t>
            </w:r>
          </w:p>
        </w:tc>
        <w:tc>
          <w:tcPr>
            <w:tcW w:w="1100" w:type="dxa"/>
          </w:tcPr>
          <w:p>
            <w:r>
              <w:t xml:space="preserve">UAT-070</w:t>
            </w:r>
          </w:p>
        </w:tc>
      </w:tr>
      <w:tr>
        <w:tc>
          <w:tcPr>
            <w:tcW w:w="800" w:type="dxa"/>
          </w:tcPr>
          <w:p>
            <w:r>
              <w:t xml:space="preserve">MV-28</w:t>
            </w:r>
          </w:p>
        </w:tc>
        <w:tc>
          <w:tcPr>
            <w:tcW w:w="4200" w:type="dxa"/>
          </w:tcPr>
          <w:p>
            <w:r>
              <w:t xml:space="preserve">Onboarding mandatory fields required</w:t>
            </w:r>
          </w:p>
        </w:tc>
        <w:tc>
          <w:tcPr>
            <w:tcW w:w="800" w:type="dxa"/>
          </w:tcPr>
          <w:p>
            <w:r>
              <w:t xml:space="preserve">M02</w:t>
            </w:r>
          </w:p>
        </w:tc>
        <w:tc>
          <w:tcPr>
            <w:tcW w:w="2200" w:type="dxa"/>
          </w:tcPr>
          <w:p>
            <w:r>
              <w:t xml:space="preserve">client.mandatory</w:t>
            </w:r>
          </w:p>
        </w:tc>
        <w:tc>
          <w:tcPr>
            <w:tcW w:w="1100" w:type="dxa"/>
          </w:tcPr>
          <w:p>
            <w:r>
              <w:t xml:space="preserve">UAT-062</w:t>
            </w:r>
          </w:p>
        </w:tc>
      </w:tr>
    </w:tbl>
    <w:p/>
    <w:p>
      <w:pPr>
        <w:pStyle w:val="Heading1"/>
      </w:pPr>
      <w:r>
        <w:t xml:space="preserve">6. Standard Operating Procedures (15 SOPs)</w:t>
      </w:r>
    </w:p>
    <w:p>
      <w:pPr>
        <w:pStyle w:val="Heading2"/>
      </w:pPr>
      <w:r>
        <w:t xml:space="preserve">SOP-01 — User Access Provisioning (M01)</w:t>
      </w:r>
    </w:p>
    <w:p>
      <w:pPr>
        <w:pStyle w:val="Normal"/>
      </w:pPr>
      <w:r>
        <w:t xml:space="preserve">Purpose: Standard procedure for granting, reviewing and revoking portal access.</w:t>
      </w:r>
    </w:p>
    <w:p>
      <w:pPr>
        <w:pStyle w:val="ListParagraph"/>
        <w:numPr>
          <w:ilvl w:val="0"/>
          <w:numId w:val="1"/>
        </w:numPr>
      </w:pPr>
      <w:r>
        <w:t xml:space="preserve">Step 1: Receive an authorised access request.</w:t>
      </w:r>
    </w:p>
    <w:p>
      <w:pPr>
        <w:pStyle w:val="ListParagraph"/>
        <w:numPr>
          <w:ilvl w:val="0"/>
          <w:numId w:val="1"/>
        </w:numPr>
      </w:pPr>
      <w:r>
        <w:t xml:space="preserve">Step 2: Assign the least-privilege role.</w:t>
      </w:r>
    </w:p>
    <w:p>
      <w:pPr>
        <w:pStyle w:val="ListParagraph"/>
        <w:numPr>
          <w:ilvl w:val="0"/>
          <w:numId w:val="1"/>
        </w:numPr>
      </w:pPr>
      <w:r>
        <w:t xml:space="preserve">Step 3: Confirm first login and OTP delivery.</w:t>
      </w:r>
    </w:p>
    <w:p>
      <w:pPr>
        <w:pStyle w:val="ListParagraph"/>
        <w:numPr>
          <w:ilvl w:val="0"/>
          <w:numId w:val="1"/>
        </w:numPr>
      </w:pPr>
      <w:r>
        <w:t xml:space="preserve">Step 4: Record provisioning in the activity trail.</w:t>
      </w:r>
    </w:p>
    <w:p>
      <w:pPr>
        <w:pStyle w:val="Heading2"/>
      </w:pPr>
      <w:r>
        <w:t xml:space="preserve">SOP-02 — Client Onboarding (M02)</w:t>
      </w:r>
    </w:p>
    <w:p>
      <w:pPr>
        <w:pStyle w:val="Normal"/>
      </w:pPr>
      <w:r>
        <w:t xml:space="preserve">Purpose: Standard procedure for onboarding a new client/entity.</w:t>
      </w:r>
    </w:p>
    <w:p>
      <w:pPr>
        <w:pStyle w:val="ListParagraph"/>
        <w:numPr>
          <w:ilvl w:val="0"/>
          <w:numId w:val="1"/>
        </w:numPr>
      </w:pPr>
      <w:r>
        <w:t xml:space="preserve">Step 1: Collect KYC and statutory particulars.</w:t>
      </w:r>
    </w:p>
    <w:p>
      <w:pPr>
        <w:pStyle w:val="ListParagraph"/>
        <w:numPr>
          <w:ilvl w:val="0"/>
          <w:numId w:val="1"/>
        </w:numPr>
      </w:pPr>
      <w:r>
        <w:t xml:space="preserve">Step 2: Validate PAN/GSTIN before submission.</w:t>
      </w:r>
    </w:p>
    <w:p>
      <w:pPr>
        <w:pStyle w:val="ListParagraph"/>
        <w:numPr>
          <w:ilvl w:val="0"/>
          <w:numId w:val="1"/>
        </w:numPr>
      </w:pPr>
      <w:r>
        <w:t xml:space="preserve">Step 3: Create the entity record.</w:t>
      </w:r>
    </w:p>
    <w:p>
      <w:pPr>
        <w:pStyle w:val="ListParagraph"/>
        <w:numPr>
          <w:ilvl w:val="0"/>
          <w:numId w:val="1"/>
        </w:numPr>
      </w:pPr>
      <w:r>
        <w:t xml:space="preserve">Step 4: Initiate the relevant engagement.</w:t>
      </w:r>
    </w:p>
    <w:p>
      <w:pPr>
        <w:pStyle w:val="Heading2"/>
      </w:pPr>
      <w:r>
        <w:t xml:space="preserve">SOP-03 — Entity Master Maintenance (M03)</w:t>
      </w:r>
    </w:p>
    <w:p>
      <w:pPr>
        <w:pStyle w:val="Normal"/>
      </w:pPr>
      <w:r>
        <w:t xml:space="preserve">Purpose: Standard procedure for maintaining authoritative entity data.</w:t>
      </w:r>
    </w:p>
    <w:p>
      <w:pPr>
        <w:pStyle w:val="ListParagraph"/>
        <w:numPr>
          <w:ilvl w:val="0"/>
          <w:numId w:val="1"/>
        </w:numPr>
      </w:pPr>
      <w:r>
        <w:t xml:space="preserve">Step 1: Verify source documents.</w:t>
      </w:r>
    </w:p>
    <w:p>
      <w:pPr>
        <w:pStyle w:val="ListParagraph"/>
        <w:numPr>
          <w:ilvl w:val="0"/>
          <w:numId w:val="1"/>
        </w:numPr>
      </w:pPr>
      <w:r>
        <w:t xml:space="preserve">Step 2: Update the entity profile.</w:t>
      </w:r>
    </w:p>
    <w:p>
      <w:pPr>
        <w:pStyle w:val="ListParagraph"/>
        <w:numPr>
          <w:ilvl w:val="0"/>
          <w:numId w:val="1"/>
        </w:numPr>
      </w:pPr>
      <w:r>
        <w:t xml:space="preserve">Step 3: Confirm format-valid statutory identifiers.</w:t>
      </w:r>
    </w:p>
    <w:p>
      <w:pPr>
        <w:pStyle w:val="ListParagraph"/>
        <w:numPr>
          <w:ilvl w:val="0"/>
          <w:numId w:val="1"/>
        </w:numPr>
      </w:pPr>
      <w:r>
        <w:t xml:space="preserve">Step 4: Record the change.</w:t>
      </w:r>
    </w:p>
    <w:p>
      <w:pPr>
        <w:pStyle w:val="Heading2"/>
      </w:pPr>
      <w:r>
        <w:t xml:space="preserve">SOP-04 — Document Handling (M04)</w:t>
      </w:r>
    </w:p>
    <w:p>
      <w:pPr>
        <w:pStyle w:val="Normal"/>
      </w:pPr>
      <w:r>
        <w:t xml:space="preserve">Purpose: Standard procedure for uploading and classifying documents.</w:t>
      </w:r>
    </w:p>
    <w:p>
      <w:pPr>
        <w:pStyle w:val="ListParagraph"/>
        <w:numPr>
          <w:ilvl w:val="0"/>
          <w:numId w:val="1"/>
        </w:numPr>
      </w:pPr>
      <w:r>
        <w:t xml:space="preserve">Step 1: Confirm document belongs to the correct entity.</w:t>
      </w:r>
    </w:p>
    <w:p>
      <w:pPr>
        <w:pStyle w:val="ListParagraph"/>
        <w:numPr>
          <w:ilvl w:val="0"/>
          <w:numId w:val="1"/>
        </w:numPr>
      </w:pPr>
      <w:r>
        <w:t xml:space="preserve">Step 2: Select the correct category.</w:t>
      </w:r>
    </w:p>
    <w:p>
      <w:pPr>
        <w:pStyle w:val="ListParagraph"/>
        <w:numPr>
          <w:ilvl w:val="0"/>
          <w:numId w:val="1"/>
        </w:numPr>
      </w:pPr>
      <w:r>
        <w:t xml:space="preserve">Step 3: Upload within size/type limits.</w:t>
      </w:r>
    </w:p>
    <w:p>
      <w:pPr>
        <w:pStyle w:val="ListParagraph"/>
        <w:numPr>
          <w:ilvl w:val="0"/>
          <w:numId w:val="1"/>
        </w:numPr>
      </w:pPr>
      <w:r>
        <w:t xml:space="preserve">Step 4: Verify retrievability.</w:t>
      </w:r>
    </w:p>
    <w:p>
      <w:pPr>
        <w:pStyle w:val="Heading2"/>
      </w:pPr>
      <w:r>
        <w:t xml:space="preserve">SOP-05 — Compliance Calendar Upkeep (M05)</w:t>
      </w:r>
    </w:p>
    <w:p>
      <w:pPr>
        <w:pStyle w:val="Normal"/>
      </w:pPr>
      <w:r>
        <w:t xml:space="preserve">Purpose: Standard procedure for maintaining statutory due dates.</w:t>
      </w:r>
    </w:p>
    <w:p>
      <w:pPr>
        <w:pStyle w:val="ListParagraph"/>
        <w:numPr>
          <w:ilvl w:val="0"/>
          <w:numId w:val="1"/>
        </w:numPr>
      </w:pPr>
      <w:r>
        <w:t xml:space="preserve">Step 1: Identify applicable obligations.</w:t>
      </w:r>
    </w:p>
    <w:p>
      <w:pPr>
        <w:pStyle w:val="ListParagraph"/>
        <w:numPr>
          <w:ilvl w:val="0"/>
          <w:numId w:val="1"/>
        </w:numPr>
      </w:pPr>
      <w:r>
        <w:t xml:space="preserve">Step 2: Record due dates per entity.</w:t>
      </w:r>
    </w:p>
    <w:p>
      <w:pPr>
        <w:pStyle w:val="ListParagraph"/>
        <w:numPr>
          <w:ilvl w:val="0"/>
          <w:numId w:val="1"/>
        </w:numPr>
      </w:pPr>
      <w:r>
        <w:t xml:space="preserve">Step 3: Review overdue items.</w:t>
      </w:r>
    </w:p>
    <w:p>
      <w:pPr>
        <w:pStyle w:val="ListParagraph"/>
        <w:numPr>
          <w:ilvl w:val="0"/>
          <w:numId w:val="1"/>
        </w:numPr>
      </w:pPr>
      <w:r>
        <w:t xml:space="preserve">Step 4: Escalate as required.</w:t>
      </w:r>
    </w:p>
    <w:p>
      <w:pPr>
        <w:pStyle w:val="Heading2"/>
      </w:pPr>
      <w:r>
        <w:t xml:space="preserve">SOP-06 — Task Lifecycle (M06)</w:t>
      </w:r>
    </w:p>
    <w:p>
      <w:pPr>
        <w:pStyle w:val="Normal"/>
      </w:pPr>
      <w:r>
        <w:t xml:space="preserve">Purpose: Standard procedure for the internal task lifecycle.</w:t>
      </w:r>
    </w:p>
    <w:p>
      <w:pPr>
        <w:pStyle w:val="ListParagraph"/>
        <w:numPr>
          <w:ilvl w:val="0"/>
          <w:numId w:val="1"/>
        </w:numPr>
      </w:pPr>
      <w:r>
        <w:t xml:space="preserve">Step 1: Create and assign the task.</w:t>
      </w:r>
    </w:p>
    <w:p>
      <w:pPr>
        <w:pStyle w:val="ListParagraph"/>
        <w:numPr>
          <w:ilvl w:val="0"/>
          <w:numId w:val="1"/>
        </w:numPr>
      </w:pPr>
      <w:r>
        <w:t xml:space="preserve">Step 2: Progress through documented statuses.</w:t>
      </w:r>
    </w:p>
    <w:p>
      <w:pPr>
        <w:pStyle w:val="ListParagraph"/>
        <w:numPr>
          <w:ilvl w:val="0"/>
          <w:numId w:val="1"/>
        </w:numPr>
      </w:pPr>
      <w:r>
        <w:t xml:space="preserve">Step 3: Complete the mandatory review.</w:t>
      </w:r>
    </w:p>
    <w:p>
      <w:pPr>
        <w:pStyle w:val="ListParagraph"/>
        <w:numPr>
          <w:ilvl w:val="0"/>
          <w:numId w:val="1"/>
        </w:numPr>
      </w:pPr>
      <w:r>
        <w:t xml:space="preserve">Step 4: Close and record.</w:t>
      </w:r>
    </w:p>
    <w:p>
      <w:pPr>
        <w:pStyle w:val="Heading2"/>
      </w:pPr>
      <w:r>
        <w:t xml:space="preserve">SOP-07 — Engagement &amp; Billing (M07)</w:t>
      </w:r>
    </w:p>
    <w:p>
      <w:pPr>
        <w:pStyle w:val="Normal"/>
      </w:pPr>
      <w:r>
        <w:t xml:space="preserve">Purpose: Standard procedure for engagements and invoice tracking.</w:t>
      </w:r>
    </w:p>
    <w:p>
      <w:pPr>
        <w:pStyle w:val="ListParagraph"/>
        <w:numPr>
          <w:ilvl w:val="0"/>
          <w:numId w:val="1"/>
        </w:numPr>
      </w:pPr>
      <w:r>
        <w:t xml:space="preserve">Step 1: Record the engagement and fee schedule.</w:t>
      </w:r>
    </w:p>
    <w:p>
      <w:pPr>
        <w:pStyle w:val="ListParagraph"/>
        <w:numPr>
          <w:ilvl w:val="0"/>
          <w:numId w:val="1"/>
        </w:numPr>
      </w:pPr>
      <w:r>
        <w:t xml:space="preserve">Step 2: Raise invoice lines.</w:t>
      </w:r>
    </w:p>
    <w:p>
      <w:pPr>
        <w:pStyle w:val="ListParagraph"/>
        <w:numPr>
          <w:ilvl w:val="0"/>
          <w:numId w:val="1"/>
        </w:numPr>
      </w:pPr>
      <w:r>
        <w:t xml:space="preserve">Step 3: Track status (no payment gateway).</w:t>
      </w:r>
    </w:p>
    <w:p>
      <w:pPr>
        <w:pStyle w:val="ListParagraph"/>
        <w:numPr>
          <w:ilvl w:val="0"/>
          <w:numId w:val="1"/>
        </w:numPr>
      </w:pPr>
      <w:r>
        <w:t xml:space="preserve">Step 4: Reconcile periodically.</w:t>
      </w:r>
    </w:p>
    <w:p>
      <w:pPr>
        <w:pStyle w:val="Heading2"/>
      </w:pPr>
      <w:r>
        <w:t xml:space="preserve">SOP-08 — Financial Statements Review (M08)</w:t>
      </w:r>
    </w:p>
    <w:p>
      <w:pPr>
        <w:pStyle w:val="Normal"/>
      </w:pPr>
      <w:r>
        <w:t xml:space="preserve">Purpose: Standard procedure for reviewing draft financials.</w:t>
      </w:r>
    </w:p>
    <w:p>
      <w:pPr>
        <w:pStyle w:val="ListParagraph"/>
        <w:numPr>
          <w:ilvl w:val="0"/>
          <w:numId w:val="1"/>
        </w:numPr>
      </w:pPr>
      <w:r>
        <w:t xml:space="preserve">Step 1: Attach draft financials.</w:t>
      </w:r>
    </w:p>
    <w:p>
      <w:pPr>
        <w:pStyle w:val="ListParagraph"/>
        <w:numPr>
          <w:ilvl w:val="0"/>
          <w:numId w:val="1"/>
        </w:numPr>
      </w:pPr>
      <w:r>
        <w:t xml:space="preserve">Step 2: Record review notes.</w:t>
      </w:r>
    </w:p>
    <w:p>
      <w:pPr>
        <w:pStyle w:val="ListParagraph"/>
        <w:numPr>
          <w:ilvl w:val="0"/>
          <w:numId w:val="1"/>
        </w:numPr>
      </w:pPr>
      <w:r>
        <w:t xml:space="preserve">Step 3: Resolve open notes.</w:t>
      </w:r>
    </w:p>
    <w:p>
      <w:pPr>
        <w:pStyle w:val="ListParagraph"/>
        <w:numPr>
          <w:ilvl w:val="0"/>
          <w:numId w:val="1"/>
        </w:numPr>
      </w:pPr>
      <w:r>
        <w:t xml:space="preserve">Step 4: Mark reviewed only when clear.</w:t>
      </w:r>
    </w:p>
    <w:p>
      <w:pPr>
        <w:pStyle w:val="Heading2"/>
      </w:pPr>
      <w:r>
        <w:t xml:space="preserve">SOP-09 — GST Filing Tracking (M09)</w:t>
      </w:r>
    </w:p>
    <w:p>
      <w:pPr>
        <w:pStyle w:val="Normal"/>
      </w:pPr>
      <w:r>
        <w:t xml:space="preserve">Purpose: Standard procedure for tracking GST returns.</w:t>
      </w:r>
    </w:p>
    <w:p>
      <w:pPr>
        <w:pStyle w:val="ListParagraph"/>
        <w:numPr>
          <w:ilvl w:val="0"/>
          <w:numId w:val="1"/>
        </w:numPr>
      </w:pPr>
      <w:r>
        <w:t xml:space="preserve">Step 1: Configure GST periods.</w:t>
      </w:r>
    </w:p>
    <w:p>
      <w:pPr>
        <w:pStyle w:val="ListParagraph"/>
        <w:numPr>
          <w:ilvl w:val="0"/>
          <w:numId w:val="1"/>
        </w:numPr>
      </w:pPr>
      <w:r>
        <w:t xml:space="preserve">Step 2: Mark preparation status.</w:t>
      </w:r>
    </w:p>
    <w:p>
      <w:pPr>
        <w:pStyle w:val="ListParagraph"/>
        <w:numPr>
          <w:ilvl w:val="0"/>
          <w:numId w:val="1"/>
        </w:numPr>
      </w:pPr>
      <w:r>
        <w:t xml:space="preserve">Step 3: Capture acknowledgement reference.</w:t>
      </w:r>
    </w:p>
    <w:p>
      <w:pPr>
        <w:pStyle w:val="ListParagraph"/>
        <w:numPr>
          <w:ilvl w:val="0"/>
          <w:numId w:val="1"/>
        </w:numPr>
      </w:pPr>
      <w:r>
        <w:t xml:space="preserve">Step 4: Confirm filed status.</w:t>
      </w:r>
    </w:p>
    <w:p>
      <w:pPr>
        <w:pStyle w:val="Heading2"/>
      </w:pPr>
      <w:r>
        <w:t xml:space="preserve">SOP-10 — Income Tax Filing Tracking (M10)</w:t>
      </w:r>
    </w:p>
    <w:p>
      <w:pPr>
        <w:pStyle w:val="Normal"/>
      </w:pPr>
      <w:r>
        <w:t xml:space="preserve">Purpose: Standard procedure for tracking ITR filings.</w:t>
      </w:r>
    </w:p>
    <w:p>
      <w:pPr>
        <w:pStyle w:val="ListParagraph"/>
        <w:numPr>
          <w:ilvl w:val="0"/>
          <w:numId w:val="1"/>
        </w:numPr>
      </w:pPr>
      <w:r>
        <w:t xml:space="preserve">Step 1: Configure assessment years.</w:t>
      </w:r>
    </w:p>
    <w:p>
      <w:pPr>
        <w:pStyle w:val="ListParagraph"/>
        <w:numPr>
          <w:ilvl w:val="0"/>
          <w:numId w:val="1"/>
        </w:numPr>
      </w:pPr>
      <w:r>
        <w:t xml:space="preserve">Step 2: Record computation reference.</w:t>
      </w:r>
    </w:p>
    <w:p>
      <w:pPr>
        <w:pStyle w:val="ListParagraph"/>
        <w:numPr>
          <w:ilvl w:val="0"/>
          <w:numId w:val="1"/>
        </w:numPr>
      </w:pPr>
      <w:r>
        <w:t xml:space="preserve">Step 3: Capture acknowledgement reference.</w:t>
      </w:r>
    </w:p>
    <w:p>
      <w:pPr>
        <w:pStyle w:val="ListParagraph"/>
        <w:numPr>
          <w:ilvl w:val="0"/>
          <w:numId w:val="1"/>
        </w:numPr>
      </w:pPr>
      <w:r>
        <w:t xml:space="preserve">Step 4: Confirm filed status.</w:t>
      </w:r>
    </w:p>
    <w:p>
      <w:pPr>
        <w:pStyle w:val="Heading2"/>
      </w:pPr>
      <w:r>
        <w:t xml:space="preserve">SOP-11 — ROC / MCA Compliance (M11)</w:t>
      </w:r>
    </w:p>
    <w:p>
      <w:pPr>
        <w:pStyle w:val="Normal"/>
      </w:pPr>
      <w:r>
        <w:t xml:space="preserve">Purpose: Standard procedure for ROC compliance tracking.</w:t>
      </w:r>
    </w:p>
    <w:p>
      <w:pPr>
        <w:pStyle w:val="ListParagraph"/>
        <w:numPr>
          <w:ilvl w:val="0"/>
          <w:numId w:val="1"/>
        </w:numPr>
      </w:pPr>
      <w:r>
        <w:t xml:space="preserve">Step 1: Identify applicable forms.</w:t>
      </w:r>
    </w:p>
    <w:p>
      <w:pPr>
        <w:pStyle w:val="ListParagraph"/>
        <w:numPr>
          <w:ilvl w:val="0"/>
          <w:numId w:val="1"/>
        </w:numPr>
      </w:pPr>
      <w:r>
        <w:t xml:space="preserve">Step 2: Track due dates.</w:t>
      </w:r>
    </w:p>
    <w:p>
      <w:pPr>
        <w:pStyle w:val="ListParagraph"/>
        <w:numPr>
          <w:ilvl w:val="0"/>
          <w:numId w:val="1"/>
        </w:numPr>
      </w:pPr>
      <w:r>
        <w:t xml:space="preserve">Step 3: Record filing status.</w:t>
      </w:r>
    </w:p>
    <w:p>
      <w:pPr>
        <w:pStyle w:val="ListParagraph"/>
        <w:numPr>
          <w:ilvl w:val="0"/>
          <w:numId w:val="1"/>
        </w:numPr>
      </w:pPr>
      <w:r>
        <w:t xml:space="preserve">Step 4: Retain acknowledgements.</w:t>
      </w:r>
    </w:p>
    <w:p>
      <w:pPr>
        <w:pStyle w:val="Heading2"/>
      </w:pPr>
      <w:r>
        <w:t xml:space="preserve">SOP-12 — Notifications (M12)</w:t>
      </w:r>
    </w:p>
    <w:p>
      <w:pPr>
        <w:pStyle w:val="Normal"/>
      </w:pPr>
      <w:r>
        <w:t xml:space="preserve">Purpose: Standard procedure for notification handling.</w:t>
      </w:r>
    </w:p>
    <w:p>
      <w:pPr>
        <w:pStyle w:val="ListParagraph"/>
        <w:numPr>
          <w:ilvl w:val="0"/>
          <w:numId w:val="1"/>
        </w:numPr>
      </w:pPr>
      <w:r>
        <w:t xml:space="preserve">Step 1: Confirm notification rules.</w:t>
      </w:r>
    </w:p>
    <w:p>
      <w:pPr>
        <w:pStyle w:val="ListParagraph"/>
        <w:numPr>
          <w:ilvl w:val="0"/>
          <w:numId w:val="1"/>
        </w:numPr>
      </w:pPr>
      <w:r>
        <w:t xml:space="preserve">Step 2: Verify delivery to addressees.</w:t>
      </w:r>
    </w:p>
    <w:p>
      <w:pPr>
        <w:pStyle w:val="ListParagraph"/>
        <w:numPr>
          <w:ilvl w:val="0"/>
          <w:numId w:val="1"/>
        </w:numPr>
      </w:pPr>
      <w:r>
        <w:t xml:space="preserve">Step 3: Monitor read/unread state.</w:t>
      </w:r>
    </w:p>
    <w:p>
      <w:pPr>
        <w:pStyle w:val="ListParagraph"/>
        <w:numPr>
          <w:ilvl w:val="0"/>
          <w:numId w:val="1"/>
        </w:numPr>
      </w:pPr>
      <w:r>
        <w:t xml:space="preserve">Step 4: Action due-date alerts.</w:t>
      </w:r>
    </w:p>
    <w:p>
      <w:pPr>
        <w:pStyle w:val="Heading2"/>
      </w:pPr>
      <w:r>
        <w:t xml:space="preserve">SOP-13 — Reporting (M13)</w:t>
      </w:r>
    </w:p>
    <w:p>
      <w:pPr>
        <w:pStyle w:val="Normal"/>
      </w:pPr>
      <w:r>
        <w:t xml:space="preserve">Purpose: Standard procedure for read-only reporting.</w:t>
      </w:r>
    </w:p>
    <w:p>
      <w:pPr>
        <w:pStyle w:val="ListParagraph"/>
        <w:numPr>
          <w:ilvl w:val="0"/>
          <w:numId w:val="1"/>
        </w:numPr>
      </w:pPr>
      <w:r>
        <w:t xml:space="preserve">Step 1: Open the relevant dashboard.</w:t>
      </w:r>
    </w:p>
    <w:p>
      <w:pPr>
        <w:pStyle w:val="ListParagraph"/>
        <w:numPr>
          <w:ilvl w:val="0"/>
          <w:numId w:val="1"/>
        </w:numPr>
      </w:pPr>
      <w:r>
        <w:t xml:space="preserve">Step 2: Confirm summary counts.</w:t>
      </w:r>
    </w:p>
    <w:p>
      <w:pPr>
        <w:pStyle w:val="ListParagraph"/>
        <w:numPr>
          <w:ilvl w:val="0"/>
          <w:numId w:val="1"/>
        </w:numPr>
      </w:pPr>
      <w:r>
        <w:t xml:space="preserve">Step 3: Export when required.</w:t>
      </w:r>
    </w:p>
    <w:p>
      <w:pPr>
        <w:pStyle w:val="ListParagraph"/>
        <w:numPr>
          <w:ilvl w:val="0"/>
          <w:numId w:val="1"/>
        </w:numPr>
      </w:pPr>
      <w:r>
        <w:t xml:space="preserve">Step 4: Distribute per access scope.</w:t>
      </w:r>
    </w:p>
    <w:p>
      <w:pPr>
        <w:pStyle w:val="Heading2"/>
      </w:pPr>
      <w:r>
        <w:t xml:space="preserve">SOP-14 — Audit Trail Review (M14)</w:t>
      </w:r>
    </w:p>
    <w:p>
      <w:pPr>
        <w:pStyle w:val="Normal"/>
      </w:pPr>
      <w:r>
        <w:t xml:space="preserve">Purpose: Standard procedure for periodic audit-trail review.</w:t>
      </w:r>
    </w:p>
    <w:p>
      <w:pPr>
        <w:pStyle w:val="ListParagraph"/>
        <w:numPr>
          <w:ilvl w:val="0"/>
          <w:numId w:val="1"/>
        </w:numPr>
      </w:pPr>
      <w:r>
        <w:t xml:space="preserve">Step 1: Open the activity trail.</w:t>
      </w:r>
    </w:p>
    <w:p>
      <w:pPr>
        <w:pStyle w:val="ListParagraph"/>
        <w:numPr>
          <w:ilvl w:val="0"/>
          <w:numId w:val="1"/>
        </w:numPr>
      </w:pPr>
      <w:r>
        <w:t xml:space="preserve">Step 2: Review actor/action/timestamp.</w:t>
      </w:r>
    </w:p>
    <w:p>
      <w:pPr>
        <w:pStyle w:val="ListParagraph"/>
        <w:numPr>
          <w:ilvl w:val="0"/>
          <w:numId w:val="1"/>
        </w:numPr>
      </w:pPr>
      <w:r>
        <w:t xml:space="preserve">Step 3: Investigate anomalies.</w:t>
      </w:r>
    </w:p>
    <w:p>
      <w:pPr>
        <w:pStyle w:val="ListParagraph"/>
        <w:numPr>
          <w:ilvl w:val="0"/>
          <w:numId w:val="1"/>
        </w:numPr>
      </w:pPr>
      <w:r>
        <w:t xml:space="preserve">Step 4: Record the review.</w:t>
      </w:r>
    </w:p>
    <w:p>
      <w:pPr>
        <w:pStyle w:val="Heading2"/>
      </w:pPr>
      <w:r>
        <w:t xml:space="preserve">SOP-15 — Configuration Administration (M15)</w:t>
      </w:r>
    </w:p>
    <w:p>
      <w:pPr>
        <w:pStyle w:val="Normal"/>
      </w:pPr>
      <w:r>
        <w:t xml:space="preserve">Purpose: Standard procedure for master configuration changes.</w:t>
      </w:r>
    </w:p>
    <w:p>
      <w:pPr>
        <w:pStyle w:val="ListParagraph"/>
        <w:numPr>
          <w:ilvl w:val="0"/>
          <w:numId w:val="1"/>
        </w:numPr>
      </w:pPr>
      <w:r>
        <w:t xml:space="preserve">Step 1: Validate the proposed change.</w:t>
      </w:r>
    </w:p>
    <w:p>
      <w:pPr>
        <w:pStyle w:val="ListParagraph"/>
        <w:numPr>
          <w:ilvl w:val="0"/>
          <w:numId w:val="1"/>
        </w:numPr>
      </w:pPr>
      <w:r>
        <w:t xml:space="preserve">Step 2: Apply via the admin area.</w:t>
      </w:r>
    </w:p>
    <w:p>
      <w:pPr>
        <w:pStyle w:val="ListParagraph"/>
        <w:numPr>
          <w:ilvl w:val="0"/>
          <w:numId w:val="1"/>
        </w:numPr>
      </w:pPr>
      <w:r>
        <w:t xml:space="preserve">Step 3: Confirm system-wide reflection.</w:t>
      </w:r>
    </w:p>
    <w:p>
      <w:pPr>
        <w:pStyle w:val="ListParagraph"/>
        <w:numPr>
          <w:ilvl w:val="0"/>
          <w:numId w:val="1"/>
        </w:numPr>
      </w:pPr>
      <w:r>
        <w:t xml:space="preserve">Step 4: Record the change.</w:t>
      </w:r>
    </w:p>
    <w:p/>
    <w:p>
      <w:pPr>
        <w:pStyle w:val="Heading1"/>
      </w:pPr>
      <w:r>
        <w:t xml:space="preserve">7. Open PJ Decisions (14, all OPEN)</w:t>
      </w:r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0"/>
        <w:gridCol w:w="3200"/>
        <w:gridCol w:w="4200"/>
        <w:gridCol w:w="1400"/>
      </w:tblGrid>
      <w:tr>
        <w:trPr>
          <w:tblHeader/>
        </w:trPr>
        <w:tc>
          <w:tcPr>
            <w:tcW w:w="800" w:type="dxa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3200" w:type="dxa"/>
          </w:tcPr>
          <w:p>
            <w:r>
              <w:rPr>
                <w:b/>
              </w:rPr>
              <w:t xml:space="preserve">Topic</w:t>
            </w:r>
          </w:p>
        </w:tc>
        <w:tc>
          <w:tcPr>
            <w:tcW w:w="4200" w:type="dxa"/>
          </w:tcPr>
          <w:p>
            <w:r>
              <w:rPr>
                <w:b/>
              </w:rPr>
              <w:t xml:space="preserve">Detail</w:t>
            </w:r>
          </w:p>
        </w:tc>
        <w:tc>
          <w:tcPr>
            <w:tcW w:w="1400" w:type="dxa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>
            <w:tcW w:w="800" w:type="dxa"/>
          </w:tcPr>
          <w:p>
            <w:r>
              <w:t xml:space="preserve">D-01</w:t>
            </w:r>
          </w:p>
        </w:tc>
        <w:tc>
          <w:tcPr>
            <w:tcW w:w="3200" w:type="dxa"/>
          </w:tcPr>
          <w:p>
            <w:r>
              <w:t xml:space="preserve">OTP delivery channel and retry/lockout thresholds</w:t>
            </w:r>
          </w:p>
        </w:tc>
        <w:tc>
          <w:tcPr>
            <w:tcW w:w="4200" w:type="dxa"/>
          </w:tcPr>
          <w:p>
            <w:r>
              <w:t xml:space="preserve">Email-only vs email+SMS; lockout count.</w:t>
            </w:r>
          </w:p>
        </w:tc>
        <w:tc>
          <w:tcPr>
            <w:tcW w:w="1400" w:type="dxa"/>
          </w:tcPr>
          <w:p>
            <w:r>
              <w:t xml:space="preserve">OPEN</w:t>
            </w:r>
          </w:p>
        </w:tc>
      </w:tr>
      <w:tr>
        <w:tc>
          <w:tcPr>
            <w:tcW w:w="800" w:type="dxa"/>
          </w:tcPr>
          <w:p>
            <w:r>
              <w:t xml:space="preserve">D-02</w:t>
            </w:r>
          </w:p>
        </w:tc>
        <w:tc>
          <w:tcPr>
            <w:tcW w:w="3200" w:type="dxa"/>
          </w:tcPr>
          <w:p>
            <w:r>
              <w:t xml:space="preserve">Client self-onboarding vs firm-only onboarding</w:t>
            </w:r>
          </w:p>
        </w:tc>
        <w:tc>
          <w:tcPr>
            <w:tcW w:w="4200" w:type="dxa"/>
          </w:tcPr>
          <w:p>
            <w:r>
              <w:t xml:space="preserve">Self-serve vs staff-mediated for go-live.</w:t>
            </w:r>
          </w:p>
        </w:tc>
        <w:tc>
          <w:tcPr>
            <w:tcW w:w="1400" w:type="dxa"/>
          </w:tcPr>
          <w:p>
            <w:r>
              <w:t xml:space="preserve">OPEN</w:t>
            </w:r>
          </w:p>
        </w:tc>
      </w:tr>
      <w:tr>
        <w:tc>
          <w:tcPr>
            <w:tcW w:w="800" w:type="dxa"/>
          </w:tcPr>
          <w:p>
            <w:r>
              <w:t xml:space="preserve">D-03</w:t>
            </w:r>
          </w:p>
        </w:tc>
        <w:tc>
          <w:tcPr>
            <w:tcW w:w="3200" w:type="dxa"/>
          </w:tcPr>
          <w:p>
            <w:r>
              <w:t xml:space="preserve">Document retention period and purge policy</w:t>
            </w:r>
          </w:p>
        </w:tc>
        <w:tc>
          <w:tcPr>
            <w:tcW w:w="4200" w:type="dxa"/>
          </w:tcPr>
          <w:p>
            <w:r>
              <w:t xml:space="preserve">Retention years and purge approval flow.</w:t>
            </w:r>
          </w:p>
        </w:tc>
        <w:tc>
          <w:tcPr>
            <w:tcW w:w="1400" w:type="dxa"/>
          </w:tcPr>
          <w:p>
            <w:r>
              <w:t xml:space="preserve">OPEN</w:t>
            </w:r>
          </w:p>
        </w:tc>
      </w:tr>
      <w:tr>
        <w:tc>
          <w:tcPr>
            <w:tcW w:w="800" w:type="dxa"/>
          </w:tcPr>
          <w:p>
            <w:r>
              <w:t xml:space="preserve">D-04</w:t>
            </w:r>
          </w:p>
        </w:tc>
        <w:tc>
          <w:tcPr>
            <w:tcW w:w="3200" w:type="dxa"/>
          </w:tcPr>
          <w:p>
            <w:r>
              <w:t xml:space="preserve">Maximum document upload size and allowed types</w:t>
            </w:r>
          </w:p>
        </w:tc>
        <w:tc>
          <w:tcPr>
            <w:tcW w:w="4200" w:type="dxa"/>
          </w:tcPr>
          <w:p>
            <w:r>
              <w:t xml:space="preserve">Size cap and file-type allow-list.</w:t>
            </w:r>
          </w:p>
        </w:tc>
        <w:tc>
          <w:tcPr>
            <w:tcW w:w="1400" w:type="dxa"/>
          </w:tcPr>
          <w:p>
            <w:r>
              <w:t xml:space="preserve">OPEN</w:t>
            </w:r>
          </w:p>
        </w:tc>
      </w:tr>
      <w:tr>
        <w:tc>
          <w:tcPr>
            <w:tcW w:w="800" w:type="dxa"/>
          </w:tcPr>
          <w:p>
            <w:r>
              <w:t xml:space="preserve">D-05</w:t>
            </w:r>
          </w:p>
        </w:tc>
        <w:tc>
          <w:tcPr>
            <w:tcW w:w="3200" w:type="dxa"/>
          </w:tcPr>
          <w:p>
            <w:r>
              <w:t xml:space="preserve">Compliance calendar source of truth</w:t>
            </w:r>
          </w:p>
        </w:tc>
        <w:tc>
          <w:tcPr>
            <w:tcW w:w="4200" w:type="dxa"/>
          </w:tcPr>
          <w:p>
            <w:r>
              <w:t xml:space="preserve">Manual entry vs statutory master import.</w:t>
            </w:r>
          </w:p>
        </w:tc>
        <w:tc>
          <w:tcPr>
            <w:tcW w:w="1400" w:type="dxa"/>
          </w:tcPr>
          <w:p>
            <w:r>
              <w:t xml:space="preserve">OPEN</w:t>
            </w:r>
          </w:p>
        </w:tc>
      </w:tr>
      <w:tr>
        <w:tc>
          <w:tcPr>
            <w:tcW w:w="800" w:type="dxa"/>
          </w:tcPr>
          <w:p>
            <w:r>
              <w:t xml:space="preserve">D-06</w:t>
            </w:r>
          </w:p>
        </w:tc>
        <w:tc>
          <w:tcPr>
            <w:tcW w:w="3200" w:type="dxa"/>
          </w:tcPr>
          <w:p>
            <w:r>
              <w:t xml:space="preserve">Mandatory review step ownership per task type</w:t>
            </w:r>
          </w:p>
        </w:tc>
        <w:tc>
          <w:tcPr>
            <w:tcW w:w="4200" w:type="dxa"/>
          </w:tcPr>
          <w:p>
            <w:r>
              <w:t xml:space="preserve">Who must review which task categories.</w:t>
            </w:r>
          </w:p>
        </w:tc>
        <w:tc>
          <w:tcPr>
            <w:tcW w:w="1400" w:type="dxa"/>
          </w:tcPr>
          <w:p>
            <w:r>
              <w:t xml:space="preserve">OPEN</w:t>
            </w:r>
          </w:p>
        </w:tc>
      </w:tr>
      <w:tr>
        <w:tc>
          <w:tcPr>
            <w:tcW w:w="800" w:type="dxa"/>
          </w:tcPr>
          <w:p>
            <w:r>
              <w:t xml:space="preserve">D-07</w:t>
            </w:r>
          </w:p>
        </w:tc>
        <w:tc>
          <w:tcPr>
            <w:tcW w:w="3200" w:type="dxa"/>
          </w:tcPr>
          <w:p>
            <w:r>
              <w:t xml:space="preserve">Billing scope for V2 (tracking only vs gateway later)</w:t>
            </w:r>
          </w:p>
        </w:tc>
        <w:tc>
          <w:tcPr>
            <w:tcW w:w="4200" w:type="dxa"/>
          </w:tcPr>
          <w:p>
            <w:r>
              <w:t xml:space="preserve">Confirm no payment gateway in V2.</w:t>
            </w:r>
          </w:p>
        </w:tc>
        <w:tc>
          <w:tcPr>
            <w:tcW w:w="1400" w:type="dxa"/>
          </w:tcPr>
          <w:p>
            <w:r>
              <w:t xml:space="preserve">OPEN</w:t>
            </w:r>
          </w:p>
        </w:tc>
      </w:tr>
      <w:tr>
        <w:tc>
          <w:tcPr>
            <w:tcW w:w="800" w:type="dxa"/>
          </w:tcPr>
          <w:p>
            <w:r>
              <w:t xml:space="preserve">D-08</w:t>
            </w:r>
          </w:p>
        </w:tc>
        <w:tc>
          <w:tcPr>
            <w:tcW w:w="3200" w:type="dxa"/>
          </w:tcPr>
          <w:p>
            <w:r>
              <w:t xml:space="preserve">Financial statements review sign-off authority</w:t>
            </w:r>
          </w:p>
        </w:tc>
        <w:tc>
          <w:tcPr>
            <w:tcW w:w="4200" w:type="dxa"/>
          </w:tcPr>
          <w:p>
            <w:r>
              <w:t xml:space="preserve">Who may mark financials reviewed.</w:t>
            </w:r>
          </w:p>
        </w:tc>
        <w:tc>
          <w:tcPr>
            <w:tcW w:w="1400" w:type="dxa"/>
          </w:tcPr>
          <w:p>
            <w:r>
              <w:t xml:space="preserve">OPEN</w:t>
            </w:r>
          </w:p>
        </w:tc>
      </w:tr>
      <w:tr>
        <w:tc>
          <w:tcPr>
            <w:tcW w:w="800" w:type="dxa"/>
          </w:tcPr>
          <w:p>
            <w:r>
              <w:t xml:space="preserve">D-09</w:t>
            </w:r>
          </w:p>
        </w:tc>
        <w:tc>
          <w:tcPr>
            <w:tcW w:w="3200" w:type="dxa"/>
          </w:tcPr>
          <w:p>
            <w:r>
              <w:t xml:space="preserve">GST/ITR acknowledgement evidence requirement</w:t>
            </w:r>
          </w:p>
        </w:tc>
        <w:tc>
          <w:tcPr>
            <w:tcW w:w="4200" w:type="dxa"/>
          </w:tcPr>
          <w:p>
            <w:r>
              <w:t xml:space="preserve">Reference-only vs attached proof.</w:t>
            </w:r>
          </w:p>
        </w:tc>
        <w:tc>
          <w:tcPr>
            <w:tcW w:w="1400" w:type="dxa"/>
          </w:tcPr>
          <w:p>
            <w:r>
              <w:t xml:space="preserve">OPEN</w:t>
            </w:r>
          </w:p>
        </w:tc>
      </w:tr>
      <w:tr>
        <w:tc>
          <w:tcPr>
            <w:tcW w:w="800" w:type="dxa"/>
          </w:tcPr>
          <w:p>
            <w:r>
              <w:t xml:space="preserve">D-10</w:t>
            </w:r>
          </w:p>
        </w:tc>
        <w:tc>
          <w:tcPr>
            <w:tcW w:w="3200" w:type="dxa"/>
          </w:tcPr>
          <w:p>
            <w:r>
              <w:t xml:space="preserve">ROC applicability rules per entity type</w:t>
            </w:r>
          </w:p>
        </w:tc>
        <w:tc>
          <w:tcPr>
            <w:tcW w:w="4200" w:type="dxa"/>
          </w:tcPr>
          <w:p>
            <w:r>
              <w:t xml:space="preserve">Company/LLP/other obligation matrix.</w:t>
            </w:r>
          </w:p>
        </w:tc>
        <w:tc>
          <w:tcPr>
            <w:tcW w:w="1400" w:type="dxa"/>
          </w:tcPr>
          <w:p>
            <w:r>
              <w:t xml:space="preserve">OPEN</w:t>
            </w:r>
          </w:p>
        </w:tc>
      </w:tr>
      <w:tr>
        <w:tc>
          <w:tcPr>
            <w:tcW w:w="800" w:type="dxa"/>
          </w:tcPr>
          <w:p>
            <w:r>
              <w:t xml:space="preserve">D-11</w:t>
            </w:r>
          </w:p>
        </w:tc>
        <w:tc>
          <w:tcPr>
            <w:tcW w:w="3200" w:type="dxa"/>
          </w:tcPr>
          <w:p>
            <w:r>
              <w:t xml:space="preserve">Notification channels and quiet-hours policy</w:t>
            </w:r>
          </w:p>
        </w:tc>
        <w:tc>
          <w:tcPr>
            <w:tcW w:w="4200" w:type="dxa"/>
          </w:tcPr>
          <w:p>
            <w:r>
              <w:t xml:space="preserve">In-app only vs in-app+email; timing.</w:t>
            </w:r>
          </w:p>
        </w:tc>
        <w:tc>
          <w:tcPr>
            <w:tcW w:w="1400" w:type="dxa"/>
          </w:tcPr>
          <w:p>
            <w:r>
              <w:t xml:space="preserve">OPEN</w:t>
            </w:r>
          </w:p>
        </w:tc>
      </w:tr>
      <w:tr>
        <w:tc>
          <w:tcPr>
            <w:tcW w:w="800" w:type="dxa"/>
          </w:tcPr>
          <w:p>
            <w:r>
              <w:t xml:space="preserve">D-12</w:t>
            </w:r>
          </w:p>
        </w:tc>
        <w:tc>
          <w:tcPr>
            <w:tcW w:w="3200" w:type="dxa"/>
          </w:tcPr>
          <w:p>
            <w:r>
              <w:t xml:space="preserve">Dashboard/export access scope per role</w:t>
            </w:r>
          </w:p>
        </w:tc>
        <w:tc>
          <w:tcPr>
            <w:tcW w:w="4200" w:type="dxa"/>
          </w:tcPr>
          <w:p>
            <w:r>
              <w:t xml:space="preserve">Which roles may export firm-wide data.</w:t>
            </w:r>
          </w:p>
        </w:tc>
        <w:tc>
          <w:tcPr>
            <w:tcW w:w="1400" w:type="dxa"/>
          </w:tcPr>
          <w:p>
            <w:r>
              <w:t xml:space="preserve">OPEN</w:t>
            </w:r>
          </w:p>
        </w:tc>
      </w:tr>
      <w:tr>
        <w:tc>
          <w:tcPr>
            <w:tcW w:w="800" w:type="dxa"/>
          </w:tcPr>
          <w:p>
            <w:r>
              <w:t xml:space="preserve">D-13</w:t>
            </w:r>
          </w:p>
        </w:tc>
        <w:tc>
          <w:tcPr>
            <w:tcW w:w="3200" w:type="dxa"/>
          </w:tcPr>
          <w:p>
            <w:r>
              <w:t xml:space="preserve">Audit-log retention and access policy</w:t>
            </w:r>
          </w:p>
        </w:tc>
        <w:tc>
          <w:tcPr>
            <w:tcW w:w="4200" w:type="dxa"/>
          </w:tcPr>
          <w:p>
            <w:r>
              <w:t xml:space="preserve">Retention horizon and viewer roles.</w:t>
            </w:r>
          </w:p>
        </w:tc>
        <w:tc>
          <w:tcPr>
            <w:tcW w:w="1400" w:type="dxa"/>
          </w:tcPr>
          <w:p>
            <w:r>
              <w:t xml:space="preserve">OPEN</w:t>
            </w:r>
          </w:p>
        </w:tc>
      </w:tr>
      <w:tr>
        <w:tc>
          <w:tcPr>
            <w:tcW w:w="800" w:type="dxa"/>
          </w:tcPr>
          <w:p>
            <w:r>
              <w:t xml:space="preserve">D-14</w:t>
            </w:r>
          </w:p>
        </w:tc>
        <w:tc>
          <w:tcPr>
            <w:tcW w:w="3200" w:type="dxa"/>
          </w:tcPr>
          <w:p>
            <w:r>
              <w:t xml:space="preserve">Reference-data ownership and change control</w:t>
            </w:r>
          </w:p>
        </w:tc>
        <w:tc>
          <w:tcPr>
            <w:tcW w:w="4200" w:type="dxa"/>
          </w:tcPr>
          <w:p>
            <w:r>
              <w:t xml:space="preserve">Who owns master lists and approves edits.</w:t>
            </w:r>
          </w:p>
        </w:tc>
        <w:tc>
          <w:tcPr>
            <w:tcW w:w="1400" w:type="dxa"/>
          </w:tcPr>
          <w:p>
            <w:r>
              <w:t xml:space="preserve">OPEN</w:t>
            </w:r>
          </w:p>
        </w:tc>
      </w:tr>
    </w:tbl>
    <w:p/>
    <w:p>
      <w:pPr>
        <w:pStyle w:val="Heading1"/>
      </w:pPr>
      <w:r>
        <w:t xml:space="preserve">8. Backlog (17 Items)</w:t>
      </w:r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00"/>
        <w:gridCol w:w="7000"/>
        <w:gridCol w:w="1700"/>
      </w:tblGrid>
      <w:tr>
        <w:trPr>
          <w:tblHeader/>
        </w:trPr>
        <w:tc>
          <w:tcPr>
            <w:tcW w:w="900" w:type="dxa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7000" w:type="dxa"/>
          </w:tcPr>
          <w:p>
            <w:r>
              <w:rPr>
                <w:b/>
              </w:rPr>
              <w:t xml:space="preserve">Backlog Item</w:t>
            </w:r>
          </w:p>
        </w:tc>
        <w:tc>
          <w:tcPr>
            <w:tcW w:w="1700" w:type="dxa"/>
          </w:tcPr>
          <w:p>
            <w:r>
              <w:rPr>
                <w:b/>
              </w:rPr>
              <w:t xml:space="preserve">Priority</w:t>
            </w:r>
          </w:p>
        </w:tc>
      </w:tr>
      <w:tr>
        <w:tc>
          <w:tcPr>
            <w:tcW w:w="900" w:type="dxa"/>
          </w:tcPr>
          <w:p>
            <w:r>
              <w:t xml:space="preserve">B-01</w:t>
            </w:r>
          </w:p>
        </w:tc>
        <w:tc>
          <w:tcPr>
            <w:tcW w:w="7000" w:type="dxa"/>
          </w:tcPr>
          <w:p>
            <w:r>
              <w:t xml:space="preserve">Bulk client import from spreadsheet</w:t>
            </w:r>
          </w:p>
        </w:tc>
        <w:tc>
          <w:tcPr>
            <w:tcW w:w="17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B-02</w:t>
            </w:r>
          </w:p>
        </w:tc>
        <w:tc>
          <w:tcPr>
            <w:tcW w:w="7000" w:type="dxa"/>
          </w:tcPr>
          <w:p>
            <w:r>
              <w:t xml:space="preserve">Two-factor authentication via authenticator app</w:t>
            </w:r>
          </w:p>
        </w:tc>
        <w:tc>
          <w:tcPr>
            <w:tcW w:w="17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B-03</w:t>
            </w:r>
          </w:p>
        </w:tc>
        <w:tc>
          <w:tcPr>
            <w:tcW w:w="7000" w:type="dxa"/>
          </w:tcPr>
          <w:p>
            <w:r>
              <w:t xml:space="preserve">Document OCR and auto-categorisation</w:t>
            </w:r>
          </w:p>
        </w:tc>
        <w:tc>
          <w:tcPr>
            <w:tcW w:w="1700" w:type="dxa"/>
          </w:tcPr>
          <w:p>
            <w:r>
              <w:t xml:space="preserve">Low</w:t>
            </w:r>
          </w:p>
        </w:tc>
      </w:tr>
      <w:tr>
        <w:tc>
          <w:tcPr>
            <w:tcW w:w="900" w:type="dxa"/>
          </w:tcPr>
          <w:p>
            <w:r>
              <w:t xml:space="preserve">B-04</w:t>
            </w:r>
          </w:p>
        </w:tc>
        <w:tc>
          <w:tcPr>
            <w:tcW w:w="7000" w:type="dxa"/>
          </w:tcPr>
          <w:p>
            <w:r>
              <w:t xml:space="preserve">Configurable compliance-calendar templates</w:t>
            </w:r>
          </w:p>
        </w:tc>
        <w:tc>
          <w:tcPr>
            <w:tcW w:w="17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B-05</w:t>
            </w:r>
          </w:p>
        </w:tc>
        <w:tc>
          <w:tcPr>
            <w:tcW w:w="7000" w:type="dxa"/>
          </w:tcPr>
          <w:p>
            <w:r>
              <w:t xml:space="preserve">Task SLA timers and escalation rules</w:t>
            </w:r>
          </w:p>
        </w:tc>
        <w:tc>
          <w:tcPr>
            <w:tcW w:w="17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B-06</w:t>
            </w:r>
          </w:p>
        </w:tc>
        <w:tc>
          <w:tcPr>
            <w:tcW w:w="7000" w:type="dxa"/>
          </w:tcPr>
          <w:p>
            <w:r>
              <w:t xml:space="preserve">Recurring invoice schedules</w:t>
            </w:r>
          </w:p>
        </w:tc>
        <w:tc>
          <w:tcPr>
            <w:tcW w:w="1700" w:type="dxa"/>
          </w:tcPr>
          <w:p>
            <w:r>
              <w:t xml:space="preserve">Low</w:t>
            </w:r>
          </w:p>
        </w:tc>
      </w:tr>
      <w:tr>
        <w:tc>
          <w:tcPr>
            <w:tcW w:w="900" w:type="dxa"/>
          </w:tcPr>
          <w:p>
            <w:r>
              <w:t xml:space="preserve">B-07</w:t>
            </w:r>
          </w:p>
        </w:tc>
        <w:tc>
          <w:tcPr>
            <w:tcW w:w="7000" w:type="dxa"/>
          </w:tcPr>
          <w:p>
            <w:r>
              <w:t xml:space="preserve">Financials variance analytics</w:t>
            </w:r>
          </w:p>
        </w:tc>
        <w:tc>
          <w:tcPr>
            <w:tcW w:w="1700" w:type="dxa"/>
          </w:tcPr>
          <w:p>
            <w:r>
              <w:t xml:space="preserve">Low</w:t>
            </w:r>
          </w:p>
        </w:tc>
      </w:tr>
      <w:tr>
        <w:tc>
          <w:tcPr>
            <w:tcW w:w="900" w:type="dxa"/>
          </w:tcPr>
          <w:p>
            <w:r>
              <w:t xml:space="preserve">B-08</w:t>
            </w:r>
          </w:p>
        </w:tc>
        <w:tc>
          <w:tcPr>
            <w:tcW w:w="7000" w:type="dxa"/>
          </w:tcPr>
          <w:p>
            <w:r>
              <w:t xml:space="preserve">GST reconciliation with portal data</w:t>
            </w:r>
          </w:p>
        </w:tc>
        <w:tc>
          <w:tcPr>
            <w:tcW w:w="17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B-09</w:t>
            </w:r>
          </w:p>
        </w:tc>
        <w:tc>
          <w:tcPr>
            <w:tcW w:w="7000" w:type="dxa"/>
          </w:tcPr>
          <w:p>
            <w:r>
              <w:t xml:space="preserve">ITR computation worksheet integration</w:t>
            </w:r>
          </w:p>
        </w:tc>
        <w:tc>
          <w:tcPr>
            <w:tcW w:w="1700" w:type="dxa"/>
          </w:tcPr>
          <w:p>
            <w:r>
              <w:t xml:space="preserve">Low</w:t>
            </w:r>
          </w:p>
        </w:tc>
      </w:tr>
      <w:tr>
        <w:tc>
          <w:tcPr>
            <w:tcW w:w="900" w:type="dxa"/>
          </w:tcPr>
          <w:p>
            <w:r>
              <w:t xml:space="preserve">B-10</w:t>
            </w:r>
          </w:p>
        </w:tc>
        <w:tc>
          <w:tcPr>
            <w:tcW w:w="7000" w:type="dxa"/>
          </w:tcPr>
          <w:p>
            <w:r>
              <w:t xml:space="preserve">ROC form pre-fill from entity master</w:t>
            </w:r>
          </w:p>
        </w:tc>
        <w:tc>
          <w:tcPr>
            <w:tcW w:w="17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B-11</w:t>
            </w:r>
          </w:p>
        </w:tc>
        <w:tc>
          <w:tcPr>
            <w:tcW w:w="7000" w:type="dxa"/>
          </w:tcPr>
          <w:p>
            <w:r>
              <w:t xml:space="preserve">Push/mobile notifications</w:t>
            </w:r>
          </w:p>
        </w:tc>
        <w:tc>
          <w:tcPr>
            <w:tcW w:w="1700" w:type="dxa"/>
          </w:tcPr>
          <w:p>
            <w:r>
              <w:t xml:space="preserve">Low</w:t>
            </w:r>
          </w:p>
        </w:tc>
      </w:tr>
      <w:tr>
        <w:tc>
          <w:tcPr>
            <w:tcW w:w="900" w:type="dxa"/>
          </w:tcPr>
          <w:p>
            <w:r>
              <w:t xml:space="preserve">B-12</w:t>
            </w:r>
          </w:p>
        </w:tc>
        <w:tc>
          <w:tcPr>
            <w:tcW w:w="7000" w:type="dxa"/>
          </w:tcPr>
          <w:p>
            <w:r>
              <w:t xml:space="preserve">Custom report builder</w:t>
            </w:r>
          </w:p>
        </w:tc>
        <w:tc>
          <w:tcPr>
            <w:tcW w:w="1700" w:type="dxa"/>
          </w:tcPr>
          <w:p>
            <w:r>
              <w:t xml:space="preserve">Low</w:t>
            </w:r>
          </w:p>
        </w:tc>
      </w:tr>
      <w:tr>
        <w:tc>
          <w:tcPr>
            <w:tcW w:w="900" w:type="dxa"/>
          </w:tcPr>
          <w:p>
            <w:r>
              <w:t xml:space="preserve">B-13</w:t>
            </w:r>
          </w:p>
        </w:tc>
        <w:tc>
          <w:tcPr>
            <w:tcW w:w="7000" w:type="dxa"/>
          </w:tcPr>
          <w:p>
            <w:r>
              <w:t xml:space="preserve">Audit-trail export and retention archival</w:t>
            </w:r>
          </w:p>
        </w:tc>
        <w:tc>
          <w:tcPr>
            <w:tcW w:w="17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B-14</w:t>
            </w:r>
          </w:p>
        </w:tc>
        <w:tc>
          <w:tcPr>
            <w:tcW w:w="7000" w:type="dxa"/>
          </w:tcPr>
          <w:p>
            <w:r>
              <w:t xml:space="preserve">Role/permission self-service requests</w:t>
            </w:r>
          </w:p>
        </w:tc>
        <w:tc>
          <w:tcPr>
            <w:tcW w:w="1700" w:type="dxa"/>
          </w:tcPr>
          <w:p>
            <w:r>
              <w:t xml:space="preserve">Low</w:t>
            </w:r>
          </w:p>
        </w:tc>
      </w:tr>
      <w:tr>
        <w:tc>
          <w:tcPr>
            <w:tcW w:w="900" w:type="dxa"/>
          </w:tcPr>
          <w:p>
            <w:r>
              <w:t xml:space="preserve">B-15</w:t>
            </w:r>
          </w:p>
        </w:tc>
        <w:tc>
          <w:tcPr>
            <w:tcW w:w="7000" w:type="dxa"/>
          </w:tcPr>
          <w:p>
            <w:r>
              <w:t xml:space="preserve">Client-facing status portal view</w:t>
            </w:r>
          </w:p>
        </w:tc>
        <w:tc>
          <w:tcPr>
            <w:tcW w:w="1700" w:type="dxa"/>
          </w:tcPr>
          <w:p>
            <w:r>
              <w:t xml:space="preserve">Medium</w:t>
            </w:r>
          </w:p>
        </w:tc>
      </w:tr>
      <w:tr>
        <w:tc>
          <w:tcPr>
            <w:tcW w:w="900" w:type="dxa"/>
          </w:tcPr>
          <w:p>
            <w:r>
              <w:t xml:space="preserve">B-16</w:t>
            </w:r>
          </w:p>
        </w:tc>
        <w:tc>
          <w:tcPr>
            <w:tcW w:w="7000" w:type="dxa"/>
          </w:tcPr>
          <w:p>
            <w:r>
              <w:t xml:space="preserve">Configurable approval workflows</w:t>
            </w:r>
          </w:p>
        </w:tc>
        <w:tc>
          <w:tcPr>
            <w:tcW w:w="1700" w:type="dxa"/>
          </w:tcPr>
          <w:p>
            <w:r>
              <w:t xml:space="preserve">Low</w:t>
            </w:r>
          </w:p>
        </w:tc>
      </w:tr>
      <w:tr>
        <w:tc>
          <w:tcPr>
            <w:tcW w:w="900" w:type="dxa"/>
          </w:tcPr>
          <w:p>
            <w:r>
              <w:t xml:space="preserve">B-17</w:t>
            </w:r>
          </w:p>
        </w:tc>
        <w:tc>
          <w:tcPr>
            <w:tcW w:w="7000" w:type="dxa"/>
          </w:tcPr>
          <w:p>
            <w:r>
              <w:t xml:space="preserve">Data export pack for client off-boarding</w:t>
            </w:r>
          </w:p>
        </w:tc>
        <w:tc>
          <w:tcPr>
            <w:tcW w:w="1700" w:type="dxa"/>
          </w:tcPr>
          <w:p>
            <w:r>
              <w:t xml:space="preserve">Medium</w:t>
            </w:r>
          </w:p>
        </w:tc>
      </w:tr>
    </w:tbl>
    <w:p/>
    <w:p>
      <w:pPr>
        <w:pStyle w:val="Heading1"/>
      </w:pPr>
      <w:r>
        <w:t xml:space="preserve">9. Revision History and Review Results</w:t>
      </w:r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00"/>
        <w:gridCol w:w="8000"/>
      </w:tblGrid>
      <w:tr>
        <w:trPr>
          <w:tblHeader/>
        </w:trPr>
        <w:tc>
          <w:tcPr>
            <w:tcW w:w="1600" w:type="dxa"/>
          </w:tcPr>
          <w:p>
            <w:r>
              <w:rPr>
                <w:b/>
              </w:rPr>
              <w:t xml:space="preserve">Revision</w:t>
            </w:r>
          </w:p>
        </w:tc>
        <w:tc>
          <w:tcPr>
            <w:tcW w:w="8000" w:type="dxa"/>
          </w:tcPr>
          <w:p>
            <w:r>
              <w:rPr>
                <w:b/>
              </w:rPr>
              <w:t xml:space="preserve">Independent Review Result</w:t>
            </w:r>
          </w:p>
        </w:tc>
      </w:tr>
      <w:tr>
        <w:tc>
          <w:tcPr>
            <w:tcW w:w="1600" w:type="dxa"/>
          </w:tcPr>
          <w:p>
            <w:r>
              <w:t xml:space="preserve">Rev1.0</w:t>
            </w:r>
          </w:p>
        </w:tc>
        <w:tc>
          <w:tcPr>
            <w:tcW w:w="8000" w:type="dxa"/>
          </w:tcPr>
          <w:p>
            <w:r>
              <w:t xml:space="preserve">CORRECTION_REQUIRED</w:t>
            </w:r>
          </w:p>
        </w:tc>
      </w:tr>
      <w:tr>
        <w:tc>
          <w:tcPr>
            <w:tcW w:w="1600" w:type="dxa"/>
          </w:tcPr>
          <w:p>
            <w:r>
              <w:t xml:space="preserve">Rev1.1</w:t>
            </w:r>
          </w:p>
        </w:tc>
        <w:tc>
          <w:tcPr>
            <w:tcW w:w="8000" w:type="dxa"/>
          </w:tcPr>
          <w:p>
            <w:r>
              <w:t xml:space="preserve">SUBSTANTIVE_PRODUCT_CONTENT_PASS / PORTABLE_BUILD_EVIDENCE_CORRECTION_REQUIRED</w:t>
            </w:r>
          </w:p>
        </w:tc>
      </w:tr>
      <w:tr>
        <w:tc>
          <w:tcPr>
            <w:tcW w:w="1600" w:type="dxa"/>
          </w:tcPr>
          <w:p>
            <w:r>
              <w:t xml:space="preserve">Rev1.2</w:t>
            </w:r>
          </w:p>
        </w:tc>
        <w:tc>
          <w:tcPr>
            <w:tcW w:w="8000" w:type="dxa"/>
          </w:tcPr>
          <w:p>
            <w:r>
              <w:t xml:space="preserve">SUBSTANTIVE_PRODUCT_CONTENT_PASS / PORTABLE_BUILD_PASS / DIRECT_PACKAGE_REBUILD_PASS / CLEAN_BUILD_HASH_EVIDENCE_FAIL</w:t>
            </w:r>
          </w:p>
        </w:tc>
      </w:tr>
      <w:tr>
        <w:tc>
          <w:tcPr>
            <w:tcW w:w="1600" w:type="dxa"/>
          </w:tcPr>
          <w:p>
            <w:r>
              <w:t xml:space="preserve">Rev1.3</w:t>
            </w:r>
          </w:p>
        </w:tc>
        <w:tc>
          <w:tcPr>
            <w:tcW w:w="8000" w:type="dxa"/>
          </w:tcPr>
          <w:p>
            <w:r>
              <w:t xml:space="preserve">SUBSTANTIVE_PRODUCT_CONTENT_PASS / AUTHORITATIVE_MEMBER_MODEL_PASS / NON_RECURSIVE_HASH_MODEL_PASS / SAME_ENVIRONMENT_DETERMINISM_PASS / CROSS_ENVIRONMENT_FINAL_HASH_REPRODUCIBILITY_FAIL</w:t>
            </w:r>
          </w:p>
        </w:tc>
      </w:tr>
      <w:tr>
        <w:tc>
          <w:tcPr>
            <w:tcW w:w="1600" w:type="dxa"/>
          </w:tcPr>
          <w:p>
            <w:r>
              <w:t xml:space="preserve">Rev1.4</w:t>
            </w:r>
          </w:p>
        </w:tc>
        <w:tc>
          <w:tcPr>
            <w:tcW w:w="8000" w:type="dxa"/>
          </w:tcPr>
          <w:p>
            <w:r>
              <w:t xml:space="preserve">SUBSTANTIVE_PRODUCT_CONTENT_PASS / FIXED_BUILD_PROFILE_PASS / ENVIRONMENT_LEAKAGE_MODEL_PASS / PACKAGE_METADATA_PASS / INTERNAL_CHECKSUMS_PASS / CLEAN_BUILD_DEPENDENCY_SETUP_FAIL</w:t>
            </w:r>
          </w:p>
        </w:tc>
      </w:tr>
      <w:tr>
        <w:tc>
          <w:tcPr>
            <w:tcW w:w="1600" w:type="dxa"/>
          </w:tcPr>
          <w:p>
            <w:r>
              <w:t xml:space="preserve">Rev1.5</w:t>
            </w:r>
          </w:p>
        </w:tc>
        <w:tc>
          <w:tcPr>
            <w:tcW w:w="8000" w:type="dxa"/>
          </w:tcPr>
          <w:p>
            <w:r>
              <w:t xml:space="preserve">CORRECTION-ONLY REVISION (clean-build dependency installation + stale checksum-verifier label). PENDING INDEPENDENT CHATGPT REVIEW.</w:t>
            </w:r>
          </w:p>
        </w:tc>
      </w:tr>
    </w:tbl>
    <w:p/>
    <w:p>
      <w:pPr>
        <w:pStyle w:val="Heading1"/>
      </w:pPr>
      <w:r>
        <w:t xml:space="preserve">10. Change Log — Rev1.4 to Rev1.5</w:t>
      </w:r>
    </w:p>
    <w:p>
      <w:pPr>
        <w:pStyle w:val="ListParagraph"/>
        <w:numPr>
          <w:ilvl w:val="0"/>
          <w:numId w:val="1"/>
        </w:numPr>
      </w:pPr>
      <w:r>
        <w:t xml:space="preserve">Rev1.4 to Rev1.5 (correction-only).</w:t>
      </w:r>
    </w:p>
    <w:p>
      <w:pPr>
        <w:pStyle w:val="ListParagraph"/>
        <w:numPr>
          <w:ilvl w:val="0"/>
          <w:numId w:val="1"/>
        </w:numPr>
      </w:pPr>
      <w:r>
        <w:t xml:space="preserve">Clean-build isolated Python virtual environments added.</w:t>
      </w:r>
    </w:p>
    <w:p>
      <w:pPr>
        <w:pStyle w:val="ListParagraph"/>
        <w:numPr>
          <w:ilvl w:val="0"/>
          <w:numId w:val="1"/>
        </w:numPr>
      </w:pPr>
      <w:r>
        <w:t xml:space="preserve">pip dependency installation added to each clean build.</w:t>
      </w:r>
    </w:p>
    <w:p>
      <w:pPr>
        <w:pStyle w:val="ListParagraph"/>
        <w:numPr>
          <w:ilvl w:val="0"/>
          <w:numId w:val="1"/>
        </w:numPr>
      </w:pPr>
      <w:r>
        <w:t xml:space="preserve">npm ci added to each clean build.</w:t>
      </w:r>
    </w:p>
    <w:p>
      <w:pPr>
        <w:pStyle w:val="ListParagraph"/>
        <w:numPr>
          <w:ilvl w:val="0"/>
          <w:numId w:val="1"/>
        </w:numPr>
      </w:pPr>
      <w:r>
        <w:t xml:space="preserve">Pre-existing node_modules reliance removed.</w:t>
      </w:r>
    </w:p>
    <w:p>
      <w:pPr>
        <w:pStyle w:val="ListParagraph"/>
        <w:numPr>
          <w:ilvl w:val="0"/>
          <w:numId w:val="1"/>
        </w:numPr>
      </w:pPr>
      <w:r>
        <w:t xml:space="preserve">Dependency-install exit codes recorded.</w:t>
      </w:r>
    </w:p>
    <w:p>
      <w:pPr>
        <w:pStyle w:val="ListParagraph"/>
        <w:numPr>
          <w:ilvl w:val="0"/>
          <w:numId w:val="1"/>
        </w:numPr>
      </w:pPr>
      <w:r>
        <w:t xml:space="preserve">Failure handling strengthened.</w:t>
      </w:r>
    </w:p>
    <w:p>
      <w:pPr>
        <w:pStyle w:val="ListParagraph"/>
        <w:numPr>
          <w:ilvl w:val="0"/>
          <w:numId w:val="1"/>
        </w:numPr>
      </w:pPr>
      <w:r>
        <w:t xml:space="preserve">Stale checksum-verifier label corrected (Rev1.3 -&gt; Rev1.5).</w:t>
      </w:r>
    </w:p>
    <w:p>
      <w:pPr>
        <w:pStyle w:val="ListParagraph"/>
        <w:numPr>
          <w:ilvl w:val="0"/>
          <w:numId w:val="1"/>
        </w:numPr>
      </w:pPr>
      <w:r>
        <w:t xml:space="preserve">Package metadata updated to Rev1.5 (1.5.0).</w:t>
      </w:r>
    </w:p>
    <w:p>
      <w:pPr>
        <w:pStyle w:val="ListParagraph"/>
        <w:numPr>
          <w:ilvl w:val="0"/>
          <w:numId w:val="1"/>
        </w:numPr>
      </w:pPr>
      <w:r>
        <w:t xml:space="preserve">Clean rebuild evidence refreshed.</w:t>
      </w:r>
    </w:p>
    <w:p>
      <w:pPr>
        <w:pStyle w:val="ListParagraph"/>
        <w:numPr>
          <w:ilvl w:val="0"/>
          <w:numId w:val="1"/>
        </w:numPr>
      </w:pPr>
      <w:r>
        <w:t xml:space="preserve">Final ZIP hash evidence refreshed.</w:t>
      </w:r>
    </w:p>
    <w:p>
      <w:pPr>
        <w:pStyle w:val="ListParagraph"/>
        <w:numPr>
          <w:ilvl w:val="0"/>
          <w:numId w:val="1"/>
        </w:numPr>
      </w:pPr>
      <w:r>
        <w:t xml:space="preserve">Substantive product content unchanged.</w:t>
      </w:r>
    </w:p>
    <w:p>
      <w:pPr>
        <w:pStyle w:val="ListParagraph"/>
        <w:numPr>
          <w:ilvl w:val="0"/>
          <w:numId w:val="1"/>
        </w:numPr>
      </w:pPr>
      <w:r>
        <w:t xml:space="preserve">No Claude Code technical artefact modified.</w:t>
      </w:r>
    </w:p>
    <w:p>
      <w:pPr>
        <w:pStyle w:val="ListParagraph"/>
        <w:numPr>
          <w:ilvl w:val="0"/>
          <w:numId w:val="1"/>
        </w:numPr>
      </w:pPr>
      <w:r>
        <w:t xml:space="preserve">No PJ decision resolved.</w:t>
      </w:r>
    </w:p>
    <w:p>
      <w:pPr>
        <w:pStyle w:val="ListParagraph"/>
        <w:numPr>
          <w:ilvl w:val="0"/>
          <w:numId w:val="1"/>
        </w:numPr>
      </w:pPr>
      <w:r>
        <w:t xml:space="preserve">No authority introduced.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pPr>
      <w:spacing w:after="120"/>
    </w:pPr>
    <w:rPr>
      <w:b/>
      <w:sz w:val="48"/>
    </w:rPr>
  </w:style>
  <w:style w:type="paragraph" w:styleId="Subtitle">
    <w:name w:val="Subtitle"/>
    <w:pPr>
      <w:spacing w:after="200"/>
    </w:pPr>
    <w:rPr>
      <w:i/>
      <w:sz w:val="28"/>
    </w:rPr>
  </w:style>
  <w:style w:type="paragraph" w:styleId="Heading1">
    <w:name w:val="heading 1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pPr>
      <w:keepNext/>
      <w:spacing w:before="160" w:after="80"/>
      <w:outlineLvl w:val="1"/>
    </w:pPr>
    <w:rPr>
      <w:b/>
      <w:sz w:val="26"/>
    </w:rPr>
  </w:style>
  <w:style w:type="paragraph" w:styleId="ListParagraph">
    <w:name w:val="List Paragraph"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YAV2 Deterministic DOCX Builder</Application>
  <Company>Yes Advizors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Yes Advizors Portal V2 — Product Readiness, UAT and SOP Package</dc:title>
  <dc:creator>Claude.ai (product documentation)</dc:creator>
  <cp:lastModifiedBy>Claude.ai (product documentation)</cp:lastModifiedBy>
  <cp:revision>1</cp:revision>
  <dcterms:created xsi:type="dcterms:W3CDTF">1980-01-01T00:00:00Z</dcterms:created>
  <dcterms:modified xsi:type="dcterms:W3CDTF">1980-01-01T00:00:00Z</dcterms:modified>
</cp:coreProperties>
</file>