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Software Architecture and Design Specification</w:t>
      </w:r>
    </w:p>
    <w:p>
      <w:pPr>
        <w:spacing w:after="600"/>
        <w:jc w:val="center"/>
      </w:pPr>
      <w:r>
        <w:rPr>
          <w:color w:val="2D3748"/>
          <w:sz w:val="30"/>
          <w:szCs w:val="30"/>
        </w:rPr>
        <w:t xml:space="preserve">Online Exam Portal</w:t>
      </w:r>
    </w:p>
    <w:p>
      <w:pPr>
        <w:spacing w:after="80"/>
        <w:jc w:val="center"/>
      </w:pPr>
      <w:r>
        <w:rPr>
          <w:sz w:val="22"/>
          <w:szCs w:val="22"/>
        </w:rPr>
        <w:t xml:space="preserve">Version: 1.0</w:t>
      </w:r>
    </w:p>
    <w:p>
      <w:pPr>
        <w:spacing w:after="80"/>
        <w:jc w:val="center"/>
      </w:pPr>
      <w:r>
        <w:rPr>
          <w:sz w:val="22"/>
          <w:szCs w:val="22"/>
        </w:rPr>
        <w:t xml:space="preserve">Authors: Rehan S Bawakhan (CS820) · Yeshaswinie D (CS619) · Yashwantha R (CS614) · Yashaswini Singh (CS612)</w:t>
      </w:r>
    </w:p>
    <w:p>
      <w:pPr>
        <w:spacing w:after="80"/>
        <w:jc w:val="center"/>
      </w:pPr>
      <w:r>
        <w:rPr>
          <w:sz w:val="22"/>
          <w:szCs w:val="22"/>
        </w:rPr>
        <w:t xml:space="preserve">Date: 14-09-2026</w:t>
      </w:r>
    </w:p>
    <w:p>
      <w:pPr>
        <w:spacing w:after="80"/>
        <w:jc w:val="center"/>
      </w:pPr>
      <w:r>
        <w:rPr>
          <w:i/>
          <w:iCs/>
          <w:sz w:val="22"/>
          <w:szCs w:val="22"/>
        </w:rPr>
        <w:t xml:space="preserve">Status: Draft</w:t>
      </w:r>
    </w:p>
    <w:p>
      <w:pPr>
        <w:spacing w:after="80"/>
        <w:jc w:val="center"/>
      </w:pPr>
      <w:r>
        <w:rPr>
          <w:color w:val="718096"/>
          <w:sz w:val="20"/>
          <w:szCs w:val="20"/>
        </w:rPr>
        <w:t xml:space="preserve">Derived from: Online Exam Portal SRS, Version 1.0 (05-09-2026)</w:t>
      </w:r>
    </w:p>
    <w:p>
      <w:r>
        <w:br w:type="page"/>
      </w:r>
    </w:p>
    <w:p>
      <w:pPr>
        <w:pStyle w:val="Heading1"/>
        <w:spacing w:after="160" w:before="320"/>
      </w:pPr>
      <w:r>
        <w:t xml:space="preserve">Revision History</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1200"/>
        <w:gridCol w:w="1600"/>
        <w:gridCol w:w="3160"/>
        <w:gridCol w:w="3400"/>
      </w:tblGrid>
      <w:tr>
        <w:trPr>
          <w:tblHeader/>
        </w:trPr>
        <w:tc>
          <w:tcPr>
            <w:tcW w:type="dxa" w:w="1200"/>
            <w:shd w:fill="2C5282" w:val="clear"/>
            <w:tcMar>
              <w:top w:type="dxa" w:w="80"/>
              <w:left w:type="dxa" w:w="100"/>
              <w:bottom w:type="dxa" w:w="80"/>
              <w:right w:type="dxa" w:w="100"/>
            </w:tcMar>
          </w:tcPr>
          <w:p>
            <w:pPr>
              <w:jc w:val="left"/>
            </w:pPr>
            <w:r>
              <w:rPr>
                <w:b/>
                <w:bCs/>
                <w:color w:val="FFFFFF"/>
              </w:rPr>
              <w:t xml:space="preserve">Version</w:t>
            </w:r>
          </w:p>
        </w:tc>
        <w:tc>
          <w:tcPr>
            <w:tcW w:type="dxa" w:w="1600"/>
            <w:shd w:fill="2C5282" w:val="clear"/>
            <w:tcMar>
              <w:top w:type="dxa" w:w="80"/>
              <w:left w:type="dxa" w:w="100"/>
              <w:bottom w:type="dxa" w:w="80"/>
              <w:right w:type="dxa" w:w="100"/>
            </w:tcMar>
          </w:tcPr>
          <w:p>
            <w:pPr>
              <w:jc w:val="left"/>
            </w:pPr>
            <w:r>
              <w:rPr>
                <w:b/>
                <w:bCs/>
                <w:color w:val="FFFFFF"/>
              </w:rPr>
              <w:t xml:space="preserve">Date</w:t>
            </w:r>
          </w:p>
        </w:tc>
        <w:tc>
          <w:tcPr>
            <w:tcW w:type="dxa" w:w="3160"/>
            <w:shd w:fill="2C5282" w:val="clear"/>
            <w:tcMar>
              <w:top w:type="dxa" w:w="80"/>
              <w:left w:type="dxa" w:w="100"/>
              <w:bottom w:type="dxa" w:w="80"/>
              <w:right w:type="dxa" w:w="100"/>
            </w:tcMar>
          </w:tcPr>
          <w:p>
            <w:pPr>
              <w:jc w:val="left"/>
            </w:pPr>
            <w:r>
              <w:rPr>
                <w:b/>
                <w:bCs/>
                <w:color w:val="FFFFFF"/>
              </w:rPr>
              <w:t xml:space="preserve">Author</w:t>
            </w:r>
          </w:p>
        </w:tc>
        <w:tc>
          <w:tcPr>
            <w:tcW w:type="dxa" w:w="3400"/>
            <w:shd w:fill="2C5282" w:val="clear"/>
            <w:tcMar>
              <w:top w:type="dxa" w:w="80"/>
              <w:left w:type="dxa" w:w="100"/>
              <w:bottom w:type="dxa" w:w="80"/>
              <w:right w:type="dxa" w:w="100"/>
            </w:tcMar>
          </w:tcPr>
          <w:p>
            <w:pPr>
              <w:jc w:val="left"/>
            </w:pPr>
            <w:r>
              <w:rPr>
                <w:b/>
                <w:bCs/>
                <w:color w:val="FFFFFF"/>
              </w:rPr>
              <w:t xml:space="preserve">Change Summary</w:t>
            </w:r>
          </w:p>
        </w:tc>
      </w:tr>
      <w:tr>
        <w:tc>
          <w:tcPr>
            <w:tcW w:type="dxa" w:w="1200"/>
            <w:tcMar>
              <w:top w:type="dxa" w:w="80"/>
              <w:left w:type="dxa" w:w="100"/>
              <w:bottom w:type="dxa" w:w="80"/>
              <w:right w:type="dxa" w:w="100"/>
            </w:tcMar>
          </w:tcPr>
          <w:p>
            <w:pPr>
              <w:jc w:val="left"/>
            </w:pPr>
            <w:r>
              <w:rPr>
                <w:b w:val="false"/>
                <w:bCs w:val="false"/>
              </w:rPr>
              <w:t xml:space="preserve">1.0</w:t>
            </w:r>
          </w:p>
        </w:tc>
        <w:tc>
          <w:tcPr>
            <w:tcW w:type="dxa" w:w="1600"/>
            <w:tcMar>
              <w:top w:type="dxa" w:w="80"/>
              <w:left w:type="dxa" w:w="100"/>
              <w:bottom w:type="dxa" w:w="80"/>
              <w:right w:type="dxa" w:w="100"/>
            </w:tcMar>
          </w:tcPr>
          <w:p>
            <w:pPr>
              <w:jc w:val="left"/>
            </w:pPr>
            <w:r>
              <w:rPr>
                <w:b w:val="false"/>
                <w:bCs w:val="false"/>
              </w:rPr>
              <w:t xml:space="preserve">14-09-2026</w:t>
            </w:r>
          </w:p>
        </w:tc>
        <w:tc>
          <w:tcPr>
            <w:tcW w:type="dxa" w:w="3160"/>
            <w:tcMar>
              <w:top w:type="dxa" w:w="80"/>
              <w:left w:type="dxa" w:w="100"/>
              <w:bottom w:type="dxa" w:w="80"/>
              <w:right w:type="dxa" w:w="100"/>
            </w:tcMar>
          </w:tcPr>
          <w:p>
            <w:pPr>
              <w:jc w:val="left"/>
            </w:pPr>
            <w:r>
              <w:rPr>
                <w:b w:val="false"/>
                <w:bCs w:val="false"/>
              </w:rPr>
              <w:t xml:space="preserve">Rehan S Bawakhan, Yeshaswinie D, Yashwantha R, Yashaswini Singh</w:t>
            </w:r>
          </w:p>
        </w:tc>
        <w:tc>
          <w:tcPr>
            <w:tcW w:type="dxa" w:w="3400"/>
            <w:tcMar>
              <w:top w:type="dxa" w:w="80"/>
              <w:left w:type="dxa" w:w="100"/>
              <w:bottom w:type="dxa" w:w="80"/>
              <w:right w:type="dxa" w:w="100"/>
            </w:tcMar>
          </w:tcPr>
          <w:p>
            <w:pPr>
              <w:jc w:val="left"/>
            </w:pPr>
            <w:r>
              <w:rPr>
                <w:b w:val="false"/>
                <w:bCs w:val="false"/>
              </w:rPr>
              <w:t xml:space="preserve">Initial SAD draft, derived from Online Exam Portal SRS v1.0 following the course SAD template.</w:t>
            </w:r>
          </w:p>
        </w:tc>
      </w:tr>
    </w:tbl>
    <w:p>
      <w:pPr>
        <w:pStyle w:val="Heading1"/>
        <w:spacing w:after="160" w:before="320"/>
      </w:pPr>
      <w:r>
        <w:t xml:space="preserve">Approvals</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3120"/>
        <w:gridCol w:w="3120"/>
        <w:gridCol w:w="3120"/>
      </w:tblGrid>
      <w:tr>
        <w:trPr>
          <w:tblHeader/>
        </w:trPr>
        <w:tc>
          <w:tcPr>
            <w:tcW w:type="dxa" w:w="3120"/>
            <w:shd w:fill="2C5282" w:val="clear"/>
            <w:tcMar>
              <w:top w:type="dxa" w:w="80"/>
              <w:left w:type="dxa" w:w="100"/>
              <w:bottom w:type="dxa" w:w="80"/>
              <w:right w:type="dxa" w:w="100"/>
            </w:tcMar>
          </w:tcPr>
          <w:p>
            <w:pPr>
              <w:jc w:val="left"/>
            </w:pPr>
            <w:r>
              <w:rPr>
                <w:b/>
                <w:bCs/>
                <w:color w:val="FFFFFF"/>
              </w:rPr>
              <w:t xml:space="preserve">Role</w:t>
            </w:r>
          </w:p>
        </w:tc>
        <w:tc>
          <w:tcPr>
            <w:tcW w:type="dxa" w:w="3120"/>
            <w:shd w:fill="2C5282" w:val="clear"/>
            <w:tcMar>
              <w:top w:type="dxa" w:w="80"/>
              <w:left w:type="dxa" w:w="100"/>
              <w:bottom w:type="dxa" w:w="80"/>
              <w:right w:type="dxa" w:w="100"/>
            </w:tcMar>
          </w:tcPr>
          <w:p>
            <w:pPr>
              <w:jc w:val="left"/>
            </w:pPr>
            <w:r>
              <w:rPr>
                <w:b/>
                <w:bCs/>
                <w:color w:val="FFFFFF"/>
              </w:rPr>
              <w:t xml:space="preserve">Name</w:t>
            </w:r>
          </w:p>
        </w:tc>
        <w:tc>
          <w:tcPr>
            <w:tcW w:type="dxa" w:w="3120"/>
            <w:shd w:fill="2C5282" w:val="clear"/>
            <w:tcMar>
              <w:top w:type="dxa" w:w="80"/>
              <w:left w:type="dxa" w:w="100"/>
              <w:bottom w:type="dxa" w:w="80"/>
              <w:right w:type="dxa" w:w="100"/>
            </w:tcMar>
          </w:tcPr>
          <w:p>
            <w:pPr>
              <w:jc w:val="left"/>
            </w:pPr>
            <w:r>
              <w:rPr>
                <w:b/>
                <w:bCs/>
                <w:color w:val="FFFFFF"/>
              </w:rPr>
              <w:t xml:space="preserve">Signature / Date</w:t>
            </w:r>
          </w:p>
        </w:tc>
      </w:tr>
      <w:tr>
        <w:tc>
          <w:tcPr>
            <w:tcW w:type="dxa" w:w="3120"/>
            <w:tcMar>
              <w:top w:type="dxa" w:w="80"/>
              <w:left w:type="dxa" w:w="100"/>
              <w:bottom w:type="dxa" w:w="80"/>
              <w:right w:type="dxa" w:w="100"/>
            </w:tcMar>
          </w:tcPr>
          <w:p>
            <w:pPr>
              <w:jc w:val="left"/>
            </w:pPr>
            <w:r>
              <w:rPr>
                <w:b w:val="false"/>
                <w:bCs w:val="false"/>
              </w:rPr>
              <w:t xml:space="preserve">Course Coordinator</w:t>
            </w:r>
          </w:p>
        </w:tc>
        <w:tc>
          <w:tcPr>
            <w:tcW w:type="dxa" w:w="3120"/>
            <w:tcMar>
              <w:top w:type="dxa" w:w="80"/>
              <w:left w:type="dxa" w:w="100"/>
              <w:bottom w:type="dxa" w:w="80"/>
              <w:right w:type="dxa" w:w="100"/>
            </w:tcMar>
          </w:tcPr>
          <w:p>
            <w:pPr>
              <w:jc w:val="left"/>
            </w:pPr>
            <w:r>
              <w:rPr>
                <w:b w:val="false"/>
                <w:bCs w:val="false"/>
              </w:rPr>
              <w:t xml:space="preserve">Prof. Pavithra</w:t>
            </w:r>
          </w:p>
        </w:tc>
        <w:tc>
          <w:tcPr>
            <w:tcW w:type="dxa" w:w="3120"/>
            <w:tcMar>
              <w:top w:type="dxa" w:w="80"/>
              <w:left w:type="dxa" w:w="100"/>
              <w:bottom w:type="dxa" w:w="80"/>
              <w:right w:type="dxa" w:w="100"/>
            </w:tcMar>
          </w:tcPr>
          <w:p>
            <w:pPr>
              <w:jc w:val="left"/>
            </w:pPr>
            <w:r>
              <w:rPr>
                <w:b w:val="false"/>
                <w:bCs w:val="false"/>
              </w:rPr>
              <w:t xml:space="preserve">Pending</w:t>
            </w:r>
          </w:p>
        </w:tc>
      </w:tr>
    </w:tbl>
    <w:p>
      <w:pPr>
        <w:pStyle w:val="Heading1"/>
        <w:spacing w:after="160" w:before="320"/>
      </w:pPr>
      <w:r>
        <w:t xml:space="preserve">1. Introduction</w:t>
      </w:r>
    </w:p>
    <w:p>
      <w:pPr>
        <w:pStyle w:val="Heading2"/>
        <w:spacing w:after="120" w:before="260"/>
      </w:pPr>
      <w:r>
        <w:t xml:space="preserve">1.1 Purpose</w:t>
      </w:r>
    </w:p>
    <w:p>
      <w:pPr>
        <w:spacing w:after="160" w:line="276"/>
      </w:pPr>
      <w:r>
        <w:t xml:space="preserve">This document specifies the software architecture and detailed design of the Online Exam Portal. It translates the functional and non-functional requirements captured in the Online Exam Portal SRS (v1.0) into a concrete system structure — component layout, chosen architecture pattern, technology stack, security architecture, interaction flows and API design — so that developers, QA and reviewers share a single technical reference for how the system is built, not just what it must do.</w:t>
      </w:r>
    </w:p>
    <w:p>
      <w:pPr>
        <w:pStyle w:val="Heading2"/>
        <w:spacing w:after="120" w:before="260"/>
      </w:pPr>
      <w:r>
        <w:t xml:space="preserve">1.2 Scope</w:t>
      </w:r>
    </w:p>
    <w:p>
      <w:pPr>
        <w:spacing w:after="160" w:line="276"/>
      </w:pPr>
      <w:r>
        <w:t xml:space="preserve">This SAD covers the architecture and design of every module described in the SRS: authentication &amp; access control, question bank management, exam creation &amp; scheduling, online exam delivery, evaluation &amp; grading, result processing &amp; reporting, and administration/monitoring — for the three user roles Admin, Faculty and Student. Consistent with the SRS, a native mobile app, a payment gateway, and camera/biometric proctoring remain out of scope for this version.</w:t>
      </w:r>
    </w:p>
    <w:p>
      <w:pPr>
        <w:pStyle w:val="Heading2"/>
        <w:spacing w:after="120" w:before="260"/>
      </w:pPr>
      <w:r>
        <w:t xml:space="preserve">1.3 Audience</w:t>
      </w:r>
    </w:p>
    <w:p>
      <w:pPr>
        <w:spacing w:after="160" w:line="276"/>
      </w:pPr>
      <w:r>
        <w:t xml:space="preserve">Developers, QA engineers, security reviewers, the project guide/course coordinator, and future maintenance teams.</w:t>
      </w:r>
    </w:p>
    <w:p>
      <w:pPr>
        <w:pStyle w:val="Heading2"/>
        <w:spacing w:after="120" w:before="260"/>
      </w:pPr>
      <w:r>
        <w:t xml:space="preserve">1.4 Definitions</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2600"/>
        <w:gridCol w:w="6760"/>
      </w:tblGrid>
      <w:tr>
        <w:trPr>
          <w:tblHeader/>
        </w:trPr>
        <w:tc>
          <w:tcPr>
            <w:tcW w:type="dxa" w:w="2600"/>
            <w:shd w:fill="2C5282" w:val="clear"/>
            <w:tcMar>
              <w:top w:type="dxa" w:w="80"/>
              <w:left w:type="dxa" w:w="100"/>
              <w:bottom w:type="dxa" w:w="80"/>
              <w:right w:type="dxa" w:w="100"/>
            </w:tcMar>
          </w:tcPr>
          <w:p>
            <w:pPr>
              <w:jc w:val="left"/>
            </w:pPr>
            <w:r>
              <w:rPr>
                <w:b/>
                <w:bCs/>
                <w:color w:val="FFFFFF"/>
              </w:rPr>
              <w:t xml:space="preserve">Term</w:t>
            </w:r>
          </w:p>
        </w:tc>
        <w:tc>
          <w:tcPr>
            <w:tcW w:type="dxa" w:w="6760"/>
            <w:shd w:fill="2C5282" w:val="clear"/>
            <w:tcMar>
              <w:top w:type="dxa" w:w="80"/>
              <w:left w:type="dxa" w:w="100"/>
              <w:bottom w:type="dxa" w:w="80"/>
              <w:right w:type="dxa" w:w="100"/>
            </w:tcMar>
          </w:tcPr>
          <w:p>
            <w:pPr>
              <w:jc w:val="left"/>
            </w:pPr>
            <w:r>
              <w:rPr>
                <w:b/>
                <w:bCs/>
                <w:color w:val="FFFFFF"/>
              </w:rPr>
              <w:t xml:space="preserve">Meaning</w:t>
            </w:r>
          </w:p>
        </w:tc>
      </w:tr>
      <w:tr>
        <w:tc>
          <w:tcPr>
            <w:tcW w:type="dxa" w:w="2600"/>
            <w:tcMar>
              <w:top w:type="dxa" w:w="80"/>
              <w:left w:type="dxa" w:w="100"/>
              <w:bottom w:type="dxa" w:w="80"/>
              <w:right w:type="dxa" w:w="100"/>
            </w:tcMar>
          </w:tcPr>
          <w:p>
            <w:pPr>
              <w:jc w:val="left"/>
            </w:pPr>
            <w:r>
              <w:rPr>
                <w:b w:val="false"/>
                <w:bCs w:val="false"/>
              </w:rPr>
              <w:t xml:space="preserve">SRS</w:t>
            </w:r>
          </w:p>
        </w:tc>
        <w:tc>
          <w:tcPr>
            <w:tcW w:type="dxa" w:w="6760"/>
            <w:tcMar>
              <w:top w:type="dxa" w:w="80"/>
              <w:left w:type="dxa" w:w="100"/>
              <w:bottom w:type="dxa" w:w="80"/>
              <w:right w:type="dxa" w:w="100"/>
            </w:tcMar>
          </w:tcPr>
          <w:p>
            <w:pPr>
              <w:jc w:val="left"/>
            </w:pPr>
            <w:r>
              <w:rPr>
                <w:b w:val="false"/>
                <w:bCs w:val="false"/>
              </w:rPr>
              <w:t xml:space="preserve">Software Requirements Specification</w:t>
            </w:r>
          </w:p>
        </w:tc>
      </w:tr>
      <w:tr>
        <w:tc>
          <w:tcPr>
            <w:tcW w:type="dxa" w:w="2600"/>
            <w:tcMar>
              <w:top w:type="dxa" w:w="80"/>
              <w:left w:type="dxa" w:w="100"/>
              <w:bottom w:type="dxa" w:w="80"/>
              <w:right w:type="dxa" w:w="100"/>
            </w:tcMar>
          </w:tcPr>
          <w:p>
            <w:pPr>
              <w:jc w:val="left"/>
            </w:pPr>
            <w:r>
              <w:rPr>
                <w:b w:val="false"/>
                <w:bCs w:val="false"/>
              </w:rPr>
              <w:t xml:space="preserve">Admin</w:t>
            </w:r>
          </w:p>
        </w:tc>
        <w:tc>
          <w:tcPr>
            <w:tcW w:type="dxa" w:w="6760"/>
            <w:tcMar>
              <w:top w:type="dxa" w:w="80"/>
              <w:left w:type="dxa" w:w="100"/>
              <w:bottom w:type="dxa" w:w="80"/>
              <w:right w:type="dxa" w:w="100"/>
            </w:tcMar>
          </w:tcPr>
          <w:p>
            <w:pPr>
              <w:jc w:val="left"/>
            </w:pPr>
            <w:r>
              <w:rPr>
                <w:b w:val="false"/>
                <w:bCs w:val="false"/>
              </w:rPr>
              <w:t xml:space="preserve">System administrator who manages the portal as a whole</w:t>
            </w:r>
          </w:p>
        </w:tc>
      </w:tr>
      <w:tr>
        <w:tc>
          <w:tcPr>
            <w:tcW w:type="dxa" w:w="2600"/>
            <w:tcMar>
              <w:top w:type="dxa" w:w="80"/>
              <w:left w:type="dxa" w:w="100"/>
              <w:bottom w:type="dxa" w:w="80"/>
              <w:right w:type="dxa" w:w="100"/>
            </w:tcMar>
          </w:tcPr>
          <w:p>
            <w:pPr>
              <w:jc w:val="left"/>
            </w:pPr>
            <w:r>
              <w:rPr>
                <w:b w:val="false"/>
                <w:bCs w:val="false"/>
              </w:rPr>
              <w:t xml:space="preserve">Faculty / Examiner</w:t>
            </w:r>
          </w:p>
        </w:tc>
        <w:tc>
          <w:tcPr>
            <w:tcW w:type="dxa" w:w="6760"/>
            <w:tcMar>
              <w:top w:type="dxa" w:w="80"/>
              <w:left w:type="dxa" w:w="100"/>
              <w:bottom w:type="dxa" w:w="80"/>
              <w:right w:type="dxa" w:w="100"/>
            </w:tcMar>
          </w:tcPr>
          <w:p>
            <w:pPr>
              <w:jc w:val="left"/>
            </w:pPr>
            <w:r>
              <w:rPr>
                <w:b w:val="false"/>
                <w:bCs w:val="false"/>
              </w:rPr>
              <w:t xml:space="preserve">Creates exams and question banks, grades subjective answers</w:t>
            </w:r>
          </w:p>
        </w:tc>
      </w:tr>
      <w:tr>
        <w:tc>
          <w:tcPr>
            <w:tcW w:type="dxa" w:w="2600"/>
            <w:tcMar>
              <w:top w:type="dxa" w:w="80"/>
              <w:left w:type="dxa" w:w="100"/>
              <w:bottom w:type="dxa" w:w="80"/>
              <w:right w:type="dxa" w:w="100"/>
            </w:tcMar>
          </w:tcPr>
          <w:p>
            <w:pPr>
              <w:jc w:val="left"/>
            </w:pPr>
            <w:r>
              <w:rPr>
                <w:b w:val="false"/>
                <w:bCs w:val="false"/>
              </w:rPr>
              <w:t xml:space="preserve">MCQ</w:t>
            </w:r>
          </w:p>
        </w:tc>
        <w:tc>
          <w:tcPr>
            <w:tcW w:type="dxa" w:w="6760"/>
            <w:tcMar>
              <w:top w:type="dxa" w:w="80"/>
              <w:left w:type="dxa" w:w="100"/>
              <w:bottom w:type="dxa" w:w="80"/>
              <w:right w:type="dxa" w:w="100"/>
            </w:tcMar>
          </w:tcPr>
          <w:p>
            <w:pPr>
              <w:jc w:val="left"/>
            </w:pPr>
            <w:r>
              <w:rPr>
                <w:b w:val="false"/>
                <w:bCs w:val="false"/>
              </w:rPr>
              <w:t xml:space="preserve">Multiple Choice Question</w:t>
            </w:r>
          </w:p>
        </w:tc>
      </w:tr>
      <w:tr>
        <w:tc>
          <w:tcPr>
            <w:tcW w:type="dxa" w:w="2600"/>
            <w:tcMar>
              <w:top w:type="dxa" w:w="80"/>
              <w:left w:type="dxa" w:w="100"/>
              <w:bottom w:type="dxa" w:w="80"/>
              <w:right w:type="dxa" w:w="100"/>
            </w:tcMar>
          </w:tcPr>
          <w:p>
            <w:pPr>
              <w:jc w:val="left"/>
            </w:pPr>
            <w:r>
              <w:rPr>
                <w:b w:val="false"/>
                <w:bCs w:val="false"/>
              </w:rPr>
              <w:t xml:space="preserve">UI / API</w:t>
            </w:r>
          </w:p>
        </w:tc>
        <w:tc>
          <w:tcPr>
            <w:tcW w:type="dxa" w:w="6760"/>
            <w:tcMar>
              <w:top w:type="dxa" w:w="80"/>
              <w:left w:type="dxa" w:w="100"/>
              <w:bottom w:type="dxa" w:w="80"/>
              <w:right w:type="dxa" w:w="100"/>
            </w:tcMar>
          </w:tcPr>
          <w:p>
            <w:pPr>
              <w:jc w:val="left"/>
            </w:pPr>
            <w:r>
              <w:rPr>
                <w:b w:val="false"/>
                <w:bCs w:val="false"/>
              </w:rPr>
              <w:t xml:space="preserve">User Interface / Application Programming Interface</w:t>
            </w:r>
          </w:p>
        </w:tc>
      </w:tr>
      <w:tr>
        <w:tc>
          <w:tcPr>
            <w:tcW w:type="dxa" w:w="2600"/>
            <w:tcMar>
              <w:top w:type="dxa" w:w="80"/>
              <w:left w:type="dxa" w:w="100"/>
              <w:bottom w:type="dxa" w:w="80"/>
              <w:right w:type="dxa" w:w="100"/>
            </w:tcMar>
          </w:tcPr>
          <w:p>
            <w:pPr>
              <w:jc w:val="left"/>
            </w:pPr>
            <w:r>
              <w:rPr>
                <w:b w:val="false"/>
                <w:bCs w:val="false"/>
              </w:rPr>
              <w:t xml:space="preserve">FR / NFR</w:t>
            </w:r>
          </w:p>
        </w:tc>
        <w:tc>
          <w:tcPr>
            <w:tcW w:type="dxa" w:w="6760"/>
            <w:tcMar>
              <w:top w:type="dxa" w:w="80"/>
              <w:left w:type="dxa" w:w="100"/>
              <w:bottom w:type="dxa" w:w="80"/>
              <w:right w:type="dxa" w:w="100"/>
            </w:tcMar>
          </w:tcPr>
          <w:p>
            <w:pPr>
              <w:jc w:val="left"/>
            </w:pPr>
            <w:r>
              <w:rPr>
                <w:b w:val="false"/>
                <w:bCs w:val="false"/>
              </w:rPr>
              <w:t xml:space="preserve">Functional Requirement / Non-Functional Requirement</w:t>
            </w:r>
          </w:p>
        </w:tc>
      </w:tr>
      <w:tr>
        <w:tc>
          <w:tcPr>
            <w:tcW w:type="dxa" w:w="2600"/>
            <w:tcMar>
              <w:top w:type="dxa" w:w="80"/>
              <w:left w:type="dxa" w:w="100"/>
              <w:bottom w:type="dxa" w:w="80"/>
              <w:right w:type="dxa" w:w="100"/>
            </w:tcMar>
          </w:tcPr>
          <w:p>
            <w:pPr>
              <w:jc w:val="left"/>
            </w:pPr>
            <w:r>
              <w:rPr>
                <w:b w:val="false"/>
                <w:bCs w:val="false"/>
              </w:rPr>
              <w:t xml:space="preserve">RTM</w:t>
            </w:r>
          </w:p>
        </w:tc>
        <w:tc>
          <w:tcPr>
            <w:tcW w:type="dxa" w:w="6760"/>
            <w:tcMar>
              <w:top w:type="dxa" w:w="80"/>
              <w:left w:type="dxa" w:w="100"/>
              <w:bottom w:type="dxa" w:w="80"/>
              <w:right w:type="dxa" w:w="100"/>
            </w:tcMar>
          </w:tcPr>
          <w:p>
            <w:pPr>
              <w:jc w:val="left"/>
            </w:pPr>
            <w:r>
              <w:rPr>
                <w:b w:val="false"/>
                <w:bCs w:val="false"/>
              </w:rPr>
              <w:t xml:space="preserve">Requirements Traceability Matrix</w:t>
            </w:r>
          </w:p>
        </w:tc>
      </w:tr>
      <w:tr>
        <w:tc>
          <w:tcPr>
            <w:tcW w:type="dxa" w:w="2600"/>
            <w:tcMar>
              <w:top w:type="dxa" w:w="80"/>
              <w:left w:type="dxa" w:w="100"/>
              <w:bottom w:type="dxa" w:w="80"/>
              <w:right w:type="dxa" w:w="100"/>
            </w:tcMar>
          </w:tcPr>
          <w:p>
            <w:pPr>
              <w:jc w:val="left"/>
            </w:pPr>
            <w:r>
              <w:rPr>
                <w:b w:val="false"/>
                <w:bCs w:val="false"/>
              </w:rPr>
              <w:t xml:space="preserve">OTP</w:t>
            </w:r>
          </w:p>
        </w:tc>
        <w:tc>
          <w:tcPr>
            <w:tcW w:type="dxa" w:w="6760"/>
            <w:tcMar>
              <w:top w:type="dxa" w:w="80"/>
              <w:left w:type="dxa" w:w="100"/>
              <w:bottom w:type="dxa" w:w="80"/>
              <w:right w:type="dxa" w:w="100"/>
            </w:tcMar>
          </w:tcPr>
          <w:p>
            <w:pPr>
              <w:jc w:val="left"/>
            </w:pPr>
            <w:r>
              <w:rPr>
                <w:b w:val="false"/>
                <w:bCs w:val="false"/>
              </w:rPr>
              <w:t xml:space="preserve">One-Time Password</w:t>
            </w:r>
          </w:p>
        </w:tc>
      </w:tr>
      <w:tr>
        <w:tc>
          <w:tcPr>
            <w:tcW w:type="dxa" w:w="2600"/>
            <w:tcMar>
              <w:top w:type="dxa" w:w="80"/>
              <w:left w:type="dxa" w:w="100"/>
              <w:bottom w:type="dxa" w:w="80"/>
              <w:right w:type="dxa" w:w="100"/>
            </w:tcMar>
          </w:tcPr>
          <w:p>
            <w:pPr>
              <w:jc w:val="left"/>
            </w:pPr>
            <w:r>
              <w:rPr>
                <w:b w:val="false"/>
                <w:bCs w:val="false"/>
              </w:rPr>
              <w:t xml:space="preserve">TLS</w:t>
            </w:r>
          </w:p>
        </w:tc>
        <w:tc>
          <w:tcPr>
            <w:tcW w:type="dxa" w:w="6760"/>
            <w:tcMar>
              <w:top w:type="dxa" w:w="80"/>
              <w:left w:type="dxa" w:w="100"/>
              <w:bottom w:type="dxa" w:w="80"/>
              <w:right w:type="dxa" w:w="100"/>
            </w:tcMar>
          </w:tcPr>
          <w:p>
            <w:pPr>
              <w:jc w:val="left"/>
            </w:pPr>
            <w:r>
              <w:rPr>
                <w:b w:val="false"/>
                <w:bCs w:val="false"/>
              </w:rPr>
              <w:t xml:space="preserve">Transport Layer Security</w:t>
            </w:r>
          </w:p>
        </w:tc>
      </w:tr>
      <w:tr>
        <w:tc>
          <w:tcPr>
            <w:tcW w:type="dxa" w:w="2600"/>
            <w:tcMar>
              <w:top w:type="dxa" w:w="80"/>
              <w:left w:type="dxa" w:w="100"/>
              <w:bottom w:type="dxa" w:w="80"/>
              <w:right w:type="dxa" w:w="100"/>
            </w:tcMar>
          </w:tcPr>
          <w:p>
            <w:pPr>
              <w:jc w:val="left"/>
            </w:pPr>
            <w:r>
              <w:rPr>
                <w:b w:val="false"/>
                <w:bCs w:val="false"/>
              </w:rPr>
              <w:t xml:space="preserve">WCAG</w:t>
            </w:r>
          </w:p>
        </w:tc>
        <w:tc>
          <w:tcPr>
            <w:tcW w:type="dxa" w:w="6760"/>
            <w:tcMar>
              <w:top w:type="dxa" w:w="80"/>
              <w:left w:type="dxa" w:w="100"/>
              <w:bottom w:type="dxa" w:w="80"/>
              <w:right w:type="dxa" w:w="100"/>
            </w:tcMar>
          </w:tcPr>
          <w:p>
            <w:pPr>
              <w:jc w:val="left"/>
            </w:pPr>
            <w:r>
              <w:rPr>
                <w:b w:val="false"/>
                <w:bCs w:val="false"/>
              </w:rPr>
              <w:t xml:space="preserve">Web Content Accessibility Guidelines</w:t>
            </w:r>
          </w:p>
        </w:tc>
      </w:tr>
      <w:tr>
        <w:tc>
          <w:tcPr>
            <w:tcW w:type="dxa" w:w="2600"/>
            <w:tcMar>
              <w:top w:type="dxa" w:w="80"/>
              <w:left w:type="dxa" w:w="100"/>
              <w:bottom w:type="dxa" w:w="80"/>
              <w:right w:type="dxa" w:w="100"/>
            </w:tcMar>
          </w:tcPr>
          <w:p>
            <w:pPr>
              <w:jc w:val="left"/>
            </w:pPr>
            <w:r>
              <w:rPr>
                <w:b w:val="false"/>
                <w:bCs w:val="false"/>
              </w:rPr>
              <w:t xml:space="preserve">RBAC</w:t>
            </w:r>
          </w:p>
        </w:tc>
        <w:tc>
          <w:tcPr>
            <w:tcW w:type="dxa" w:w="6760"/>
            <w:tcMar>
              <w:top w:type="dxa" w:w="80"/>
              <w:left w:type="dxa" w:w="100"/>
              <w:bottom w:type="dxa" w:w="80"/>
              <w:right w:type="dxa" w:w="100"/>
            </w:tcMar>
          </w:tcPr>
          <w:p>
            <w:pPr>
              <w:jc w:val="left"/>
            </w:pPr>
            <w:r>
              <w:rPr>
                <w:b w:val="false"/>
                <w:bCs w:val="false"/>
              </w:rPr>
              <w:t xml:space="preserve">Role-Based Access Control</w:t>
            </w:r>
          </w:p>
        </w:tc>
      </w:tr>
      <w:tr>
        <w:tc>
          <w:tcPr>
            <w:tcW w:type="dxa" w:w="2600"/>
            <w:tcMar>
              <w:top w:type="dxa" w:w="80"/>
              <w:left w:type="dxa" w:w="100"/>
              <w:bottom w:type="dxa" w:w="80"/>
              <w:right w:type="dxa" w:w="100"/>
            </w:tcMar>
          </w:tcPr>
          <w:p>
            <w:pPr>
              <w:jc w:val="left"/>
            </w:pPr>
            <w:r>
              <w:rPr>
                <w:b w:val="false"/>
                <w:bCs w:val="false"/>
              </w:rPr>
              <w:t xml:space="preserve">REST</w:t>
            </w:r>
          </w:p>
        </w:tc>
        <w:tc>
          <w:tcPr>
            <w:tcW w:type="dxa" w:w="6760"/>
            <w:tcMar>
              <w:top w:type="dxa" w:w="80"/>
              <w:left w:type="dxa" w:w="100"/>
              <w:bottom w:type="dxa" w:w="80"/>
              <w:right w:type="dxa" w:w="100"/>
            </w:tcMar>
          </w:tcPr>
          <w:p>
            <w:pPr>
              <w:jc w:val="left"/>
            </w:pPr>
            <w:r>
              <w:rPr>
                <w:b w:val="false"/>
                <w:bCs w:val="false"/>
              </w:rPr>
              <w:t xml:space="preserve">Representational State Transfer (architectural style for the APIs)</w:t>
            </w:r>
          </w:p>
        </w:tc>
      </w:tr>
      <w:tr>
        <w:tc>
          <w:tcPr>
            <w:tcW w:type="dxa" w:w="2600"/>
            <w:tcMar>
              <w:top w:type="dxa" w:w="80"/>
              <w:left w:type="dxa" w:w="100"/>
              <w:bottom w:type="dxa" w:w="80"/>
              <w:right w:type="dxa" w:w="100"/>
            </w:tcMar>
          </w:tcPr>
          <w:p>
            <w:pPr>
              <w:jc w:val="left"/>
            </w:pPr>
            <w:r>
              <w:rPr>
                <w:b w:val="false"/>
                <w:bCs w:val="false"/>
              </w:rPr>
              <w:t xml:space="preserve">ADR</w:t>
            </w:r>
          </w:p>
        </w:tc>
        <w:tc>
          <w:tcPr>
            <w:tcW w:type="dxa" w:w="6760"/>
            <w:tcMar>
              <w:top w:type="dxa" w:w="80"/>
              <w:left w:type="dxa" w:w="100"/>
              <w:bottom w:type="dxa" w:w="80"/>
              <w:right w:type="dxa" w:w="100"/>
            </w:tcMar>
          </w:tcPr>
          <w:p>
            <w:pPr>
              <w:jc w:val="left"/>
            </w:pPr>
            <w:r>
              <w:rPr>
                <w:b w:val="false"/>
                <w:bCs w:val="false"/>
              </w:rPr>
              <w:t xml:space="preserve">Architecture Decision Record</w:t>
            </w:r>
          </w:p>
        </w:tc>
      </w:tr>
      <w:tr>
        <w:tc>
          <w:tcPr>
            <w:tcW w:type="dxa" w:w="2600"/>
            <w:tcMar>
              <w:top w:type="dxa" w:w="80"/>
              <w:left w:type="dxa" w:w="100"/>
              <w:bottom w:type="dxa" w:w="80"/>
              <w:right w:type="dxa" w:w="100"/>
            </w:tcMar>
          </w:tcPr>
          <w:p>
            <w:pPr>
              <w:jc w:val="left"/>
            </w:pPr>
            <w:r>
              <w:rPr>
                <w:b w:val="false"/>
                <w:bCs w:val="false"/>
              </w:rPr>
              <w:t xml:space="preserve">STRIDE</w:t>
            </w:r>
          </w:p>
        </w:tc>
        <w:tc>
          <w:tcPr>
            <w:tcW w:type="dxa" w:w="6760"/>
            <w:tcMar>
              <w:top w:type="dxa" w:w="80"/>
              <w:left w:type="dxa" w:w="100"/>
              <w:bottom w:type="dxa" w:w="80"/>
              <w:right w:type="dxa" w:w="100"/>
            </w:tcMar>
          </w:tcPr>
          <w:p>
            <w:pPr>
              <w:jc w:val="left"/>
            </w:pPr>
            <w:r>
              <w:rPr>
                <w:b w:val="false"/>
                <w:bCs w:val="false"/>
              </w:rPr>
              <w:t xml:space="preserve">Spoofing, Tampering, Repudiation, Information disclosure, Denial of service, Elevation of privilege — threat-modeling categories</w:t>
            </w:r>
          </w:p>
        </w:tc>
      </w:tr>
    </w:tbl>
    <w:p>
      <w:pPr>
        <w:pStyle w:val="Heading1"/>
        <w:spacing w:after="160" w:before="320"/>
      </w:pPr>
      <w:r>
        <w:t xml:space="preserve">2. Document Overview</w:t>
      </w:r>
    </w:p>
    <w:p>
      <w:pPr>
        <w:pStyle w:val="Heading2"/>
        <w:spacing w:after="120" w:before="260"/>
      </w:pPr>
      <w:r>
        <w:t xml:space="preserve">2.1 How to use this document</w:t>
      </w:r>
    </w:p>
    <w:p>
      <w:pPr>
        <w:spacing w:after="160" w:line="276"/>
      </w:pPr>
      <w:r>
        <w:t xml:space="preserve">This document provides the architectural and design deliverables for the Online Exam Portal: a layered component diagram, two UML sequence diagrams covering the core student and faculty flows, a STRIDE-based threat model, REST API definitions for the core services, and a traceability mapping back to the SRS requirement IDs.</w:t>
      </w:r>
    </w:p>
    <w:p>
      <w:pPr>
        <w:pStyle w:val="Heading2"/>
        <w:spacing w:after="120" w:before="260"/>
      </w:pPr>
      <w:r>
        <w:t xml:space="preserve">2.2 Related Documents</w:t>
      </w:r>
    </w:p>
    <w:p>
      <w:pPr>
        <w:pStyle w:val="ListParagraph"/>
        <w:numPr>
          <w:ilvl w:val="0"/>
          <w:numId w:val="1"/>
        </w:numPr>
        <w:spacing w:after="80" w:line="276"/>
      </w:pPr>
      <w:r>
        <w:t xml:space="preserve">Online Exam Portal SRS, Version 1.0 (05-09-2026)</w:t>
      </w:r>
    </w:p>
    <w:p>
      <w:pPr>
        <w:pStyle w:val="ListParagraph"/>
        <w:numPr>
          <w:ilvl w:val="0"/>
          <w:numId w:val="1"/>
        </w:numPr>
        <w:spacing w:after="80" w:line="276"/>
      </w:pPr>
      <w:r>
        <w:t xml:space="preserve">Software Test Plan (STP) — to be derived from Section 6 of the SRS</w:t>
      </w:r>
    </w:p>
    <w:p>
      <w:pPr>
        <w:pStyle w:val="ListParagraph"/>
        <w:numPr>
          <w:ilvl w:val="0"/>
          <w:numId w:val="1"/>
        </w:numPr>
        <w:spacing w:after="80" w:line="276"/>
      </w:pPr>
      <w:r>
        <w:t xml:space="preserve">Requirements Traceability Matrix (RTM) — Section 8 of the SRS</w:t>
      </w:r>
    </w:p>
    <w:p>
      <w:pPr>
        <w:pStyle w:val="Heading1"/>
        <w:spacing w:after="160" w:before="320"/>
      </w:pPr>
      <w:r>
        <w:t xml:space="preserve">3. Architecture</w:t>
      </w:r>
    </w:p>
    <w:p>
      <w:pPr>
        <w:pStyle w:val="Heading2"/>
        <w:spacing w:after="120" w:before="260"/>
      </w:pPr>
      <w:r>
        <w:t xml:space="preserve">3.1 Goals &amp; Constraints</w:t>
      </w:r>
    </w:p>
    <w:p>
      <w:pPr>
        <w:spacing w:after="160" w:line="276"/>
      </w:pPr>
      <w:r>
        <w:rPr>
          <w:b/>
          <w:bCs/>
        </w:rPr>
        <w:t xml:space="preserve">Goals:</w:t>
      </w:r>
    </w:p>
    <w:p>
      <w:pPr>
        <w:pStyle w:val="ListParagraph"/>
        <w:numPr>
          <w:ilvl w:val="0"/>
          <w:numId w:val="1"/>
        </w:numPr>
        <w:spacing w:after="80" w:line="276"/>
      </w:pPr>
      <w:r>
        <w:t xml:space="preserve">Secure — protect student credentials, exam questions and answer keys at every stage.</w:t>
      </w:r>
    </w:p>
    <w:p>
      <w:pPr>
        <w:pStyle w:val="ListParagraph"/>
        <w:numPr>
          <w:ilvl w:val="0"/>
          <w:numId w:val="1"/>
        </w:numPr>
        <w:spacing w:after="80" w:line="276"/>
      </w:pPr>
      <w:r>
        <w:t xml:space="preserve">Reliable — no submitted or in-progress exam response is ever lost (OEP-NF-002).</w:t>
      </w:r>
    </w:p>
    <w:p>
      <w:pPr>
        <w:pStyle w:val="ListParagraph"/>
        <w:numPr>
          <w:ilvl w:val="0"/>
          <w:numId w:val="1"/>
        </w:numPr>
        <w:spacing w:after="80" w:line="276"/>
      </w:pPr>
      <w:r>
        <w:t xml:space="preserve">Available — the portal stays up at least 99% of the time during scheduled exam windows (OEP-NF-003).</w:t>
      </w:r>
    </w:p>
    <w:p>
      <w:pPr>
        <w:pStyle w:val="ListParagraph"/>
        <w:numPr>
          <w:ilvl w:val="0"/>
          <w:numId w:val="1"/>
        </w:numPr>
        <w:spacing w:after="80" w:line="276"/>
      </w:pPr>
      <w:r>
        <w:t xml:space="preserve">Performant — routine actions complete within 2 seconds at the 90th percentile with 200 concurrent exam-takers (OEP-NF-001).</w:t>
      </w:r>
    </w:p>
    <w:p>
      <w:pPr>
        <w:pStyle w:val="ListParagraph"/>
        <w:numPr>
          <w:ilvl w:val="0"/>
          <w:numId w:val="1"/>
        </w:numPr>
        <w:spacing w:after="80" w:line="276"/>
      </w:pPr>
      <w:r>
        <w:t xml:space="preserve">Accessible — usable by a first-time student unaided; meets WCAG 2.1 AA where practical (OEP-NF-005).</w:t>
      </w:r>
    </w:p>
    <w:p>
      <w:pPr>
        <w:pStyle w:val="ListParagraph"/>
        <w:numPr>
          <w:ilvl w:val="0"/>
          <w:numId w:val="1"/>
        </w:numPr>
        <w:spacing w:after="80" w:line="276"/>
      </w:pPr>
      <w:r>
        <w:t xml:space="preserve">Maintainable &amp; scalable — UI, business logic and data-access code stay in separate, independently scalable modules (OEP-NF-006).</w:t>
      </w:r>
    </w:p>
    <w:p>
      <w:pPr>
        <w:spacing w:after="160" w:line="276"/>
      </w:pPr>
      <w:r>
        <w:rPr>
          <w:b/>
          <w:bCs/>
        </w:rPr>
        <w:t xml:space="preserve">Constraints:</w:t>
      </w:r>
    </w:p>
    <w:p>
      <w:pPr>
        <w:pStyle w:val="ListParagraph"/>
        <w:numPr>
          <w:ilvl w:val="0"/>
          <w:numId w:val="1"/>
        </w:numPr>
        <w:spacing w:after="80" w:line="276"/>
      </w:pPr>
      <w:r>
        <w:t xml:space="preserve">Browser-only client — no installed plugins or a native app.</w:t>
      </w:r>
    </w:p>
    <w:p>
      <w:pPr>
        <w:pStyle w:val="ListParagraph"/>
        <w:numPr>
          <w:ilvl w:val="0"/>
          <w:numId w:val="1"/>
        </w:numPr>
        <w:spacing w:after="80" w:line="276"/>
      </w:pPr>
      <w:r>
        <w:t xml:space="preserve">Standard web/app server stack agreed for the course (Node.js, Django or Spring Boot) with a MySQL/PostgreSQL database.</w:t>
      </w:r>
    </w:p>
    <w:p>
      <w:pPr>
        <w:pStyle w:val="ListParagraph"/>
        <w:numPr>
          <w:ilvl w:val="0"/>
          <w:numId w:val="1"/>
        </w:numPr>
        <w:spacing w:after="80" w:line="276"/>
      </w:pPr>
      <w:r>
        <w:t xml:space="preserve">Must remain usable over a slow or unstable student connection.</w:t>
      </w:r>
    </w:p>
    <w:p>
      <w:pPr>
        <w:pStyle w:val="ListParagraph"/>
        <w:numPr>
          <w:ilvl w:val="0"/>
          <w:numId w:val="1"/>
        </w:numPr>
        <w:spacing w:after="80" w:line="276"/>
      </w:pPr>
      <w:r>
        <w:t xml:space="preserve">Student data and exam records must follow the institution's data-privacy and academic-integrity rules.</w:t>
      </w:r>
    </w:p>
    <w:p>
      <w:pPr>
        <w:pStyle w:val="ListParagraph"/>
        <w:numPr>
          <w:ilvl w:val="0"/>
          <w:numId w:val="1"/>
        </w:numPr>
        <w:spacing w:after="80" w:line="276"/>
      </w:pPr>
      <w:r>
        <w:t xml:space="preserve">Must be buildable within the timeframe and tech stack agreed for this course project.</w:t>
      </w:r>
    </w:p>
    <w:p>
      <w:pPr>
        <w:pStyle w:val="Heading2"/>
        <w:spacing w:after="120" w:before="260"/>
      </w:pPr>
      <w:r>
        <w:t xml:space="preserve">3.2 Stakeholders &amp; Concerns</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2800"/>
        <w:gridCol w:w="6560"/>
      </w:tblGrid>
      <w:tr>
        <w:trPr>
          <w:tblHeader/>
        </w:trPr>
        <w:tc>
          <w:tcPr>
            <w:tcW w:type="dxa" w:w="2800"/>
            <w:shd w:fill="2C5282" w:val="clear"/>
            <w:tcMar>
              <w:top w:type="dxa" w:w="80"/>
              <w:left w:type="dxa" w:w="100"/>
              <w:bottom w:type="dxa" w:w="80"/>
              <w:right w:type="dxa" w:w="100"/>
            </w:tcMar>
          </w:tcPr>
          <w:p>
            <w:pPr>
              <w:jc w:val="left"/>
            </w:pPr>
            <w:r>
              <w:rPr>
                <w:b/>
                <w:bCs/>
                <w:color w:val="FFFFFF"/>
              </w:rPr>
              <w:t xml:space="preserve">Stakeholder</w:t>
            </w:r>
          </w:p>
        </w:tc>
        <w:tc>
          <w:tcPr>
            <w:tcW w:type="dxa" w:w="6560"/>
            <w:shd w:fill="2C5282" w:val="clear"/>
            <w:tcMar>
              <w:top w:type="dxa" w:w="80"/>
              <w:left w:type="dxa" w:w="100"/>
              <w:bottom w:type="dxa" w:w="80"/>
              <w:right w:type="dxa" w:w="100"/>
            </w:tcMar>
          </w:tcPr>
          <w:p>
            <w:pPr>
              <w:jc w:val="left"/>
            </w:pPr>
            <w:r>
              <w:rPr>
                <w:b/>
                <w:bCs/>
                <w:color w:val="FFFFFF"/>
              </w:rPr>
              <w:t xml:space="preserve">Concerns</w:t>
            </w:r>
          </w:p>
        </w:tc>
      </w:tr>
      <w:tr>
        <w:tc>
          <w:tcPr>
            <w:tcW w:type="dxa" w:w="2800"/>
            <w:tcMar>
              <w:top w:type="dxa" w:w="80"/>
              <w:left w:type="dxa" w:w="100"/>
              <w:bottom w:type="dxa" w:w="80"/>
              <w:right w:type="dxa" w:w="100"/>
            </w:tcMar>
          </w:tcPr>
          <w:p>
            <w:pPr>
              <w:jc w:val="left"/>
            </w:pPr>
            <w:r>
              <w:rPr>
                <w:b w:val="false"/>
                <w:bCs w:val="false"/>
              </w:rPr>
              <w:t xml:space="preserve">Students</w:t>
            </w:r>
          </w:p>
        </w:tc>
        <w:tc>
          <w:tcPr>
            <w:tcW w:type="dxa" w:w="6560"/>
            <w:tcMar>
              <w:top w:type="dxa" w:w="80"/>
              <w:left w:type="dxa" w:w="100"/>
              <w:bottom w:type="dxa" w:w="80"/>
              <w:right w:type="dxa" w:w="100"/>
            </w:tcMar>
          </w:tcPr>
          <w:p>
            <w:pPr>
              <w:jc w:val="left"/>
            </w:pPr>
            <w:r>
              <w:rPr>
                <w:b w:val="false"/>
                <w:bCs w:val="false"/>
              </w:rPr>
              <w:t xml:space="preserve">Exam integrity, a fair and accurate timer, no answer loss, privacy of personal and academic data.</w:t>
            </w:r>
          </w:p>
        </w:tc>
      </w:tr>
      <w:tr>
        <w:tc>
          <w:tcPr>
            <w:tcW w:type="dxa" w:w="2800"/>
            <w:tcMar>
              <w:top w:type="dxa" w:w="80"/>
              <w:left w:type="dxa" w:w="100"/>
              <w:bottom w:type="dxa" w:w="80"/>
              <w:right w:type="dxa" w:w="100"/>
            </w:tcMar>
          </w:tcPr>
          <w:p>
            <w:pPr>
              <w:jc w:val="left"/>
            </w:pPr>
            <w:r>
              <w:rPr>
                <w:b w:val="false"/>
                <w:bCs w:val="false"/>
              </w:rPr>
              <w:t xml:space="preserve">Faculty / Examiner</w:t>
            </w:r>
          </w:p>
        </w:tc>
        <w:tc>
          <w:tcPr>
            <w:tcW w:type="dxa" w:w="6560"/>
            <w:tcMar>
              <w:top w:type="dxa" w:w="80"/>
              <w:left w:type="dxa" w:w="100"/>
              <w:bottom w:type="dxa" w:w="80"/>
              <w:right w:type="dxa" w:w="100"/>
            </w:tcMar>
          </w:tcPr>
          <w:p>
            <w:pPr>
              <w:jc w:val="left"/>
            </w:pPr>
            <w:r>
              <w:rPr>
                <w:b w:val="false"/>
                <w:bCs w:val="false"/>
              </w:rPr>
              <w:t xml:space="preserve">Fast question and exam authoring, a manageable subjective-grading workload, accurate class-level analytics.</w:t>
            </w:r>
          </w:p>
        </w:tc>
      </w:tr>
      <w:tr>
        <w:tc>
          <w:tcPr>
            <w:tcW w:type="dxa" w:w="2800"/>
            <w:tcMar>
              <w:top w:type="dxa" w:w="80"/>
              <w:left w:type="dxa" w:w="100"/>
              <w:bottom w:type="dxa" w:w="80"/>
              <w:right w:type="dxa" w:w="100"/>
            </w:tcMar>
          </w:tcPr>
          <w:p>
            <w:pPr>
              <w:jc w:val="left"/>
            </w:pPr>
            <w:r>
              <w:rPr>
                <w:b w:val="false"/>
                <w:bCs w:val="false"/>
              </w:rPr>
              <w:t xml:space="preserve">Admin</w:t>
            </w:r>
          </w:p>
        </w:tc>
        <w:tc>
          <w:tcPr>
            <w:tcW w:type="dxa" w:w="6560"/>
            <w:tcMar>
              <w:top w:type="dxa" w:w="80"/>
              <w:left w:type="dxa" w:w="100"/>
              <w:bottom w:type="dxa" w:w="80"/>
              <w:right w:type="dxa" w:w="100"/>
            </w:tcMar>
          </w:tcPr>
          <w:p>
            <w:pPr>
              <w:jc w:val="left"/>
            </w:pPr>
            <w:r>
              <w:rPr>
                <w:b w:val="false"/>
                <w:bCs w:val="false"/>
              </w:rPr>
              <w:t xml:space="preserve">User and course administration, visibility into system health, a reliable audit trail.</w:t>
            </w:r>
          </w:p>
        </w:tc>
      </w:tr>
      <w:tr>
        <w:tc>
          <w:tcPr>
            <w:tcW w:type="dxa" w:w="2800"/>
            <w:tcMar>
              <w:top w:type="dxa" w:w="80"/>
              <w:left w:type="dxa" w:w="100"/>
              <w:bottom w:type="dxa" w:w="80"/>
              <w:right w:type="dxa" w:w="100"/>
            </w:tcMar>
          </w:tcPr>
          <w:p>
            <w:pPr>
              <w:jc w:val="left"/>
            </w:pPr>
            <w:r>
              <w:rPr>
                <w:b w:val="false"/>
                <w:bCs w:val="false"/>
              </w:rPr>
              <w:t xml:space="preserve">Course coordinator / evaluators</w:t>
            </w:r>
          </w:p>
        </w:tc>
        <w:tc>
          <w:tcPr>
            <w:tcW w:type="dxa" w:w="6560"/>
            <w:tcMar>
              <w:top w:type="dxa" w:w="80"/>
              <w:left w:type="dxa" w:w="100"/>
              <w:bottom w:type="dxa" w:w="80"/>
              <w:right w:type="dxa" w:w="100"/>
            </w:tcMar>
          </w:tcPr>
          <w:p>
            <w:pPr>
              <w:jc w:val="left"/>
            </w:pPr>
            <w:r>
              <w:rPr>
                <w:b w:val="false"/>
                <w:bCs w:val="false"/>
              </w:rPr>
              <w:t xml:space="preserve">Traceability back to the SRS, alignment with IEEE 42010, WCAG and OWASP practice.</w:t>
            </w:r>
          </w:p>
        </w:tc>
      </w:tr>
      <w:tr>
        <w:tc>
          <w:tcPr>
            <w:tcW w:type="dxa" w:w="2800"/>
            <w:tcMar>
              <w:top w:type="dxa" w:w="80"/>
              <w:left w:type="dxa" w:w="100"/>
              <w:bottom w:type="dxa" w:w="80"/>
              <w:right w:type="dxa" w:w="100"/>
            </w:tcMar>
          </w:tcPr>
          <w:p>
            <w:pPr>
              <w:jc w:val="left"/>
            </w:pPr>
            <w:r>
              <w:rPr>
                <w:b w:val="false"/>
                <w:bCs w:val="false"/>
              </w:rPr>
              <w:t xml:space="preserve">Developers</w:t>
            </w:r>
          </w:p>
        </w:tc>
        <w:tc>
          <w:tcPr>
            <w:tcW w:type="dxa" w:w="6560"/>
            <w:tcMar>
              <w:top w:type="dxa" w:w="80"/>
              <w:left w:type="dxa" w:w="100"/>
              <w:bottom w:type="dxa" w:w="80"/>
              <w:right w:type="dxa" w:w="100"/>
            </w:tcMar>
          </w:tcPr>
          <w:p>
            <w:pPr>
              <w:jc w:val="left"/>
            </w:pPr>
            <w:r>
              <w:rPr>
                <w:b w:val="false"/>
                <w:bCs w:val="false"/>
              </w:rPr>
              <w:t xml:space="preserve">Clear module boundaries and API contracts, testability, straightforward maintenance.</w:t>
            </w:r>
          </w:p>
        </w:tc>
      </w:tr>
    </w:tbl>
    <w:p>
      <w:pPr>
        <w:pStyle w:val="Heading2"/>
        <w:spacing w:after="120" w:before="260"/>
      </w:pPr>
      <w:r>
        <w:t xml:space="preserve">3.3 Component (UML) Diagram</w:t>
      </w:r>
    </w:p>
    <w:p>
      <w:pPr>
        <w:spacing w:after="80" w:before="120"/>
        <w:jc w:val="center"/>
      </w:pPr>
      <w:r>
        <w:drawing>
          <wp:inline distT="0" distB="0" distL="0" distR="0">
            <wp:extent cx="60388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4114800"/>
                    </a:xfrm>
                    <a:prstGeom prst="rect">
                      <a:avLst/>
                    </a:prstGeom>
                  </pic:spPr>
                </pic:pic>
              </a:graphicData>
            </a:graphic>
          </wp:inline>
        </w:drawing>
      </w:r>
    </w:p>
    <w:p>
      <w:pPr>
        <w:spacing w:after="240"/>
        <w:jc w:val="center"/>
      </w:pPr>
      <w:r>
        <w:rPr>
          <w:i/>
          <w:iCs/>
          <w:sz w:val="20"/>
          <w:szCs w:val="20"/>
        </w:rPr>
        <w:t xml:space="preserve">Figure 1: Component Diagram — Online Exam Portal (three-tier, modular application layer)</w:t>
      </w:r>
    </w:p>
    <w:p>
      <w:pPr>
        <w:pStyle w:val="Heading2"/>
        <w:spacing w:after="120" w:before="260"/>
      </w:pPr>
      <w:r>
        <w:t xml:space="preserve">3.4 Component Descriptions</w:t>
      </w:r>
    </w:p>
    <w:p>
      <w:pPr>
        <w:pStyle w:val="ListParagraph"/>
        <w:numPr>
          <w:ilvl w:val="0"/>
          <w:numId w:val="1"/>
        </w:numPr>
        <w:spacing w:after="80" w:line="276"/>
      </w:pPr>
      <w:r>
        <w:t xml:space="preserve">Student / Faculty / Admin UI — browser-based, role-specific screens: login, dashboards, question bank, exam-creation wizard, the exam-taking screen (question navigator, timer, submit), and the results/analytics dashboard.</w:t>
      </w:r>
    </w:p>
    <w:p>
      <w:pPr>
        <w:pStyle w:val="ListParagraph"/>
        <w:numPr>
          <w:ilvl w:val="0"/>
          <w:numId w:val="1"/>
        </w:numPr>
        <w:spacing w:after="80" w:line="276"/>
      </w:pPr>
      <w:r>
        <w:t xml:space="preserve">REST API Layer / Gateway — the single HTTPS entry point; enforces authentication and role-based access control on every endpoint before a request reaches a service.</w:t>
      </w:r>
    </w:p>
    <w:p>
      <w:pPr>
        <w:pStyle w:val="ListParagraph"/>
        <w:numPr>
          <w:ilvl w:val="0"/>
          <w:numId w:val="1"/>
        </w:numPr>
        <w:spacing w:after="80" w:line="276"/>
      </w:pPr>
      <w:r>
        <w:t xml:space="preserve">Auth Service — registration, login, password hashing, account lockout after repeated failures, session/token issuance.</w:t>
      </w:r>
    </w:p>
    <w:p>
      <w:pPr>
        <w:pStyle w:val="ListParagraph"/>
        <w:numPr>
          <w:ilvl w:val="0"/>
          <w:numId w:val="1"/>
        </w:numPr>
        <w:spacing w:after="80" w:line="276"/>
      </w:pPr>
      <w:r>
        <w:t xml:space="preserve">Question Bank Service — CRUD and tagging for questions (subject, topic, difficulty), CSV/Excel bulk import, and an edit-lock once a question is attached to a live or published exam.</w:t>
      </w:r>
    </w:p>
    <w:p>
      <w:pPr>
        <w:pStyle w:val="ListParagraph"/>
        <w:numPr>
          <w:ilvl w:val="0"/>
          <w:numId w:val="1"/>
        </w:numPr>
        <w:spacing w:after="80" w:line="276"/>
      </w:pPr>
      <w:r>
        <w:t xml:space="preserve">Exam Scheduling Service — exam assembly (hand-picked or rule-based), configuration of duration/marks/negative-marking, the availability window, group/course assignment, and publish/unpublish.</w:t>
      </w:r>
    </w:p>
    <w:p>
      <w:pPr>
        <w:pStyle w:val="ListParagraph"/>
        <w:numPr>
          <w:ilvl w:val="0"/>
          <w:numId w:val="1"/>
        </w:numPr>
        <w:spacing w:after="80" w:line="276"/>
      </w:pPr>
      <w:r>
        <w:t xml:space="preserve">Exam Delivery Service — serves the exam to the student, keeps a server-authoritative countdown, accepts periodic autosave, enforces the single-attempt rule, and auto-submits on timeout.</w:t>
      </w:r>
    </w:p>
    <w:p>
      <w:pPr>
        <w:pStyle w:val="ListParagraph"/>
        <w:numPr>
          <w:ilvl w:val="0"/>
          <w:numId w:val="1"/>
        </w:numPr>
        <w:spacing w:after="80" w:line="276"/>
      </w:pPr>
      <w:r>
        <w:t xml:space="preserve">Evaluation Service — auto-grades objective answers on submission, routes subjective answers to a Faculty grading queue, and computes the final score once grading is complete.</w:t>
      </w:r>
    </w:p>
    <w:p>
      <w:pPr>
        <w:pStyle w:val="ListParagraph"/>
        <w:numPr>
          <w:ilvl w:val="0"/>
          <w:numId w:val="1"/>
        </w:numPr>
        <w:spacing w:after="80" w:line="276"/>
      </w:pPr>
      <w:r>
        <w:t xml:space="preserve">Reporting Service — per-student scorecards, class/course analytics, rank lists, question-wise breakdowns, and PDF/Excel export.</w:t>
      </w:r>
    </w:p>
    <w:p>
      <w:pPr>
        <w:pStyle w:val="ListParagraph"/>
        <w:numPr>
          <w:ilvl w:val="0"/>
          <w:numId w:val="1"/>
        </w:numPr>
        <w:spacing w:after="80" w:line="276"/>
      </w:pPr>
      <w:r>
        <w:t xml:space="preserve">Admin Service — user/course/account management, system-wide log review, and a health-diagnostics panel.</w:t>
      </w:r>
    </w:p>
    <w:p>
      <w:pPr>
        <w:pStyle w:val="ListParagraph"/>
        <w:numPr>
          <w:ilvl w:val="0"/>
          <w:numId w:val="1"/>
        </w:numPr>
        <w:spacing w:after="80" w:line="276"/>
      </w:pPr>
      <w:r>
        <w:t xml:space="preserve">Audit &amp; Logging Service — a central, append-only log of logins, submissions, evaluation changes and integrity flags, retained per OEP-NF-004.</w:t>
      </w:r>
    </w:p>
    <w:p>
      <w:pPr>
        <w:pStyle w:val="ListParagraph"/>
        <w:numPr>
          <w:ilvl w:val="0"/>
          <w:numId w:val="1"/>
        </w:numPr>
        <w:spacing w:after="80" w:line="276"/>
      </w:pPr>
      <w:r>
        <w:t xml:space="preserve">Relational Database — stores users, exams, questions, responses and results (MySQL or PostgreSQL).</w:t>
      </w:r>
    </w:p>
    <w:p>
      <w:pPr>
        <w:pStyle w:val="ListParagraph"/>
        <w:numPr>
          <w:ilvl w:val="0"/>
          <w:numId w:val="1"/>
        </w:numPr>
        <w:spacing w:after="80" w:line="276"/>
      </w:pPr>
      <w:r>
        <w:t xml:space="preserve">Email / SMS Gateway — external notification channel (SMTP/SMS) used for OTPs and exam notices.</w:t>
      </w:r>
    </w:p>
    <w:p>
      <w:pPr>
        <w:pStyle w:val="Heading2"/>
        <w:spacing w:after="120" w:before="260"/>
      </w:pPr>
      <w:r>
        <w:t xml:space="preserve">3.5 Chosen Architecture Pattern and Rationale</w:t>
      </w:r>
    </w:p>
    <w:p>
      <w:pPr>
        <w:spacing w:after="160" w:line="276"/>
      </w:pPr>
      <w:r>
        <w:t xml:space="preserve">A layered, three-tier architecture (presentation / application / data) is chosen, with the application tier organized as a set of cohesive, independently testable modules — Auth, Question Bank, Scheduling, Delivery, Evaluation, Reporting and Admin — sitting behind a single REST API gateway; effectively a modular monolith. This gives a clean separation of concerns and satisfies OEP-NF-006 (independently maintainable modules capable of scaling out) without the operational overhead a full microservices split would add for a course-scale, single-institution deployment. Microservices were considered and rejected for the same reason the reference ATM example rejects them: the team size, timeline and expected load don't justify the added deployment and monitoring complexity. The module boundaries chosen here would, however, map cleanly onto separate services later if the project continues past this course.</w:t>
      </w:r>
    </w:p>
    <w:p>
      <w:pPr>
        <w:pStyle w:val="Heading2"/>
        <w:spacing w:after="120" w:before="260"/>
      </w:pPr>
      <w:r>
        <w:t xml:space="preserve">3.6 Technology Stack &amp; Data Stores</w:t>
      </w:r>
    </w:p>
    <w:p>
      <w:pPr>
        <w:pStyle w:val="ListParagraph"/>
        <w:numPr>
          <w:ilvl w:val="0"/>
          <w:numId w:val="1"/>
        </w:numPr>
        <w:spacing w:after="80" w:line="276"/>
      </w:pPr>
      <w:r>
        <w:t xml:space="preserve">Backend: Node.js, Django or Spring Boot (per SRS §2.4), exposing REST APIs over HTTPS.</w:t>
      </w:r>
    </w:p>
    <w:p>
      <w:pPr>
        <w:pStyle w:val="ListParagraph"/>
        <w:numPr>
          <w:ilvl w:val="0"/>
          <w:numId w:val="1"/>
        </w:numPr>
        <w:spacing w:after="80" w:line="276"/>
      </w:pPr>
      <w:r>
        <w:t xml:space="preserve">Database: MySQL or PostgreSQL — a relational schema for users, exams, questions, responses and results.</w:t>
      </w:r>
    </w:p>
    <w:p>
      <w:pPr>
        <w:pStyle w:val="ListParagraph"/>
        <w:numPr>
          <w:ilvl w:val="0"/>
          <w:numId w:val="1"/>
        </w:numPr>
        <w:spacing w:after="80" w:line="276"/>
      </w:pPr>
      <w:r>
        <w:t xml:space="preserve">Real-time sync: WebSocket (with polling fallback) to keep the exam countdown synchronized with the server clock.</w:t>
      </w:r>
    </w:p>
    <w:p>
      <w:pPr>
        <w:pStyle w:val="ListParagraph"/>
        <w:numPr>
          <w:ilvl w:val="0"/>
          <w:numId w:val="1"/>
        </w:numPr>
        <w:spacing w:after="80" w:line="276"/>
      </w:pPr>
      <w:r>
        <w:t xml:space="preserve">Notifications: SMTP-based email/SMS gateway.</w:t>
      </w:r>
    </w:p>
    <w:p>
      <w:pPr>
        <w:pStyle w:val="ListParagraph"/>
        <w:numPr>
          <w:ilvl w:val="0"/>
          <w:numId w:val="1"/>
        </w:numPr>
        <w:spacing w:after="80" w:line="276"/>
      </w:pPr>
      <w:r>
        <w:t xml:space="preserve">Client: any modern browser (Chrome, Firefox, Edge) on Windows, Linux, macOS, Android or iOS — no installed plugins.</w:t>
      </w:r>
    </w:p>
    <w:p>
      <w:pPr>
        <w:pStyle w:val="ListParagraph"/>
        <w:numPr>
          <w:ilvl w:val="0"/>
          <w:numId w:val="1"/>
        </w:numPr>
        <w:spacing w:after="80" w:line="276"/>
      </w:pPr>
      <w:r>
        <w:t xml:space="preserve">Security: TLS 1.2+, bcrypt/Argon2 password hashing, server-side RBAC checks on every endpoint.</w:t>
      </w:r>
    </w:p>
    <w:p>
      <w:pPr>
        <w:pStyle w:val="Heading2"/>
        <w:spacing w:after="120" w:before="260"/>
      </w:pPr>
      <w:r>
        <w:t xml:space="preserve">3.7 Risks &amp; Mitigations</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3560"/>
        <w:gridCol w:w="5800"/>
      </w:tblGrid>
      <w:tr>
        <w:trPr>
          <w:tblHeader/>
        </w:trPr>
        <w:tc>
          <w:tcPr>
            <w:tcW w:type="dxa" w:w="3560"/>
            <w:shd w:fill="2C5282" w:val="clear"/>
            <w:tcMar>
              <w:top w:type="dxa" w:w="80"/>
              <w:left w:type="dxa" w:w="100"/>
              <w:bottom w:type="dxa" w:w="80"/>
              <w:right w:type="dxa" w:w="100"/>
            </w:tcMar>
          </w:tcPr>
          <w:p>
            <w:pPr>
              <w:jc w:val="left"/>
            </w:pPr>
            <w:r>
              <w:rPr>
                <w:b/>
                <w:bCs/>
                <w:color w:val="FFFFFF"/>
              </w:rPr>
              <w:t xml:space="preserve">Risk</w:t>
            </w:r>
          </w:p>
        </w:tc>
        <w:tc>
          <w:tcPr>
            <w:tcW w:type="dxa" w:w="5800"/>
            <w:shd w:fill="2C5282" w:val="clear"/>
            <w:tcMar>
              <w:top w:type="dxa" w:w="80"/>
              <w:left w:type="dxa" w:w="100"/>
              <w:bottom w:type="dxa" w:w="80"/>
              <w:right w:type="dxa" w:w="100"/>
            </w:tcMar>
          </w:tcPr>
          <w:p>
            <w:pPr>
              <w:jc w:val="left"/>
            </w:pPr>
            <w:r>
              <w:rPr>
                <w:b/>
                <w:bCs/>
                <w:color w:val="FFFFFF"/>
              </w:rPr>
              <w:t xml:space="preserve">Mitigation</w:t>
            </w:r>
          </w:p>
        </w:tc>
      </w:tr>
      <w:tr>
        <w:tc>
          <w:tcPr>
            <w:tcW w:type="dxa" w:w="3560"/>
            <w:tcMar>
              <w:top w:type="dxa" w:w="80"/>
              <w:left w:type="dxa" w:w="100"/>
              <w:bottom w:type="dxa" w:w="80"/>
              <w:right w:type="dxa" w:w="100"/>
            </w:tcMar>
          </w:tcPr>
          <w:p>
            <w:pPr>
              <w:jc w:val="left"/>
            </w:pPr>
            <w:r>
              <w:rPr>
                <w:b w:val="false"/>
                <w:bCs w:val="false"/>
              </w:rPr>
              <w:t xml:space="preserve">Student loses connection mid-exam and responses are lost.</w:t>
            </w:r>
          </w:p>
        </w:tc>
        <w:tc>
          <w:tcPr>
            <w:tcW w:type="dxa" w:w="5800"/>
            <w:tcMar>
              <w:top w:type="dxa" w:w="80"/>
              <w:left w:type="dxa" w:w="100"/>
              <w:bottom w:type="dxa" w:w="80"/>
              <w:right w:type="dxa" w:w="100"/>
            </w:tcMar>
          </w:tcPr>
          <w:p>
            <w:pPr>
              <w:jc w:val="left"/>
            </w:pPr>
            <w:r>
              <w:rPr>
                <w:b w:val="false"/>
                <w:bCs w:val="false"/>
              </w:rPr>
              <w:t xml:space="preserve">Periodic server-side autosave (OEP-F-035) plus an idempotent submit endpoint.</w:t>
            </w:r>
          </w:p>
        </w:tc>
      </w:tr>
      <w:tr>
        <w:tc>
          <w:tcPr>
            <w:tcW w:type="dxa" w:w="3560"/>
            <w:tcMar>
              <w:top w:type="dxa" w:w="80"/>
              <w:left w:type="dxa" w:w="100"/>
              <w:bottom w:type="dxa" w:w="80"/>
              <w:right w:type="dxa" w:w="100"/>
            </w:tcMar>
          </w:tcPr>
          <w:p>
            <w:pPr>
              <w:jc w:val="left"/>
            </w:pPr>
            <w:r>
              <w:rPr>
                <w:b w:val="false"/>
                <w:bCs w:val="false"/>
              </w:rPr>
              <w:t xml:space="preserve">Client-side timer is spoofed or drifts from the true deadline.</w:t>
            </w:r>
          </w:p>
        </w:tc>
        <w:tc>
          <w:tcPr>
            <w:tcW w:type="dxa" w:w="5800"/>
            <w:tcMar>
              <w:top w:type="dxa" w:w="80"/>
              <w:left w:type="dxa" w:w="100"/>
              <w:bottom w:type="dxa" w:w="80"/>
              <w:right w:type="dxa" w:w="100"/>
            </w:tcMar>
          </w:tcPr>
          <w:p>
            <w:pPr>
              <w:jc w:val="left"/>
            </w:pPr>
            <w:r>
              <w:rPr>
                <w:b w:val="false"/>
                <w:bCs w:val="false"/>
              </w:rPr>
              <w:t xml:space="preserve">Timer authority lives on the server; the client only displays a synchronized countdown (OEP-F-030).</w:t>
            </w:r>
          </w:p>
        </w:tc>
      </w:tr>
      <w:tr>
        <w:tc>
          <w:tcPr>
            <w:tcW w:type="dxa" w:w="3560"/>
            <w:tcMar>
              <w:top w:type="dxa" w:w="80"/>
              <w:left w:type="dxa" w:w="100"/>
              <w:bottom w:type="dxa" w:w="80"/>
              <w:right w:type="dxa" w:w="100"/>
            </w:tcMar>
          </w:tcPr>
          <w:p>
            <w:pPr>
              <w:jc w:val="left"/>
            </w:pPr>
            <w:r>
              <w:rPr>
                <w:b w:val="false"/>
                <w:bCs w:val="false"/>
              </w:rPr>
              <w:t xml:space="preserve">High concurrent load during a scheduled exam window.</w:t>
            </w:r>
          </w:p>
        </w:tc>
        <w:tc>
          <w:tcPr>
            <w:tcW w:type="dxa" w:w="5800"/>
            <w:tcMar>
              <w:top w:type="dxa" w:w="80"/>
              <w:left w:type="dxa" w:w="100"/>
              <w:bottom w:type="dxa" w:w="80"/>
              <w:right w:type="dxa" w:w="100"/>
            </w:tcMar>
          </w:tcPr>
          <w:p>
            <w:pPr>
              <w:jc w:val="left"/>
            </w:pPr>
            <w:r>
              <w:rPr>
                <w:b w:val="false"/>
                <w:bCs w:val="false"/>
              </w:rPr>
              <w:t xml:space="preserve">Stateless application layer designed to scale horizontally, with DB connection pooling; load-tested for 200 concurrent users (OEP-NF-001, OEP-NF-006).</w:t>
            </w:r>
          </w:p>
        </w:tc>
      </w:tr>
      <w:tr>
        <w:tc>
          <w:tcPr>
            <w:tcW w:type="dxa" w:w="3560"/>
            <w:tcMar>
              <w:top w:type="dxa" w:w="80"/>
              <w:left w:type="dxa" w:w="100"/>
              <w:bottom w:type="dxa" w:w="80"/>
              <w:right w:type="dxa" w:w="100"/>
            </w:tcMar>
          </w:tcPr>
          <w:p>
            <w:pPr>
              <w:jc w:val="left"/>
            </w:pPr>
            <w:r>
              <w:rPr>
                <w:b w:val="false"/>
                <w:bCs w:val="false"/>
              </w:rPr>
              <w:t xml:space="preserve">Exam questions or answer keys leak through the client.</w:t>
            </w:r>
          </w:p>
        </w:tc>
        <w:tc>
          <w:tcPr>
            <w:tcW w:type="dxa" w:w="5800"/>
            <w:tcMar>
              <w:top w:type="dxa" w:w="80"/>
              <w:left w:type="dxa" w:w="100"/>
              <w:bottom w:type="dxa" w:w="80"/>
              <w:right w:type="dxa" w:w="100"/>
            </w:tcMar>
          </w:tcPr>
          <w:p>
            <w:pPr>
              <w:jc w:val="left"/>
            </w:pPr>
            <w:r>
              <w:rPr>
                <w:b w:val="false"/>
                <w:bCs w:val="false"/>
              </w:rPr>
              <w:t xml:space="preserve">Answer keys are never serialized into client-side code or API responses before or during the exam window (OEP-SR-004).</w:t>
            </w:r>
          </w:p>
        </w:tc>
      </w:tr>
      <w:tr>
        <w:tc>
          <w:tcPr>
            <w:tcW w:type="dxa" w:w="3560"/>
            <w:tcMar>
              <w:top w:type="dxa" w:w="80"/>
              <w:left w:type="dxa" w:w="100"/>
              <w:bottom w:type="dxa" w:w="80"/>
              <w:right w:type="dxa" w:w="100"/>
            </w:tcMar>
          </w:tcPr>
          <w:p>
            <w:pPr>
              <w:jc w:val="left"/>
            </w:pPr>
            <w:r>
              <w:rPr>
                <w:b w:val="false"/>
                <w:bCs w:val="false"/>
              </w:rPr>
              <w:t xml:space="preserve">Subjective grading becomes a bottleneck for Faculty.</w:t>
            </w:r>
          </w:p>
        </w:tc>
        <w:tc>
          <w:tcPr>
            <w:tcW w:type="dxa" w:w="5800"/>
            <w:tcMar>
              <w:top w:type="dxa" w:w="80"/>
              <w:left w:type="dxa" w:w="100"/>
              <w:bottom w:type="dxa" w:w="80"/>
              <w:right w:type="dxa" w:w="100"/>
            </w:tcMar>
          </w:tcPr>
          <w:p>
            <w:pPr>
              <w:jc w:val="left"/>
            </w:pPr>
            <w:r>
              <w:rPr>
                <w:b w:val="false"/>
                <w:bCs w:val="false"/>
              </w:rPr>
              <w:t xml:space="preserve">A dedicated per-exam grading queue; final results are released only after grading completes.</w:t>
            </w:r>
          </w:p>
        </w:tc>
      </w:tr>
      <w:tr>
        <w:tc>
          <w:tcPr>
            <w:tcW w:type="dxa" w:w="3560"/>
            <w:tcMar>
              <w:top w:type="dxa" w:w="80"/>
              <w:left w:type="dxa" w:w="100"/>
              <w:bottom w:type="dxa" w:w="80"/>
              <w:right w:type="dxa" w:w="100"/>
            </w:tcMar>
          </w:tcPr>
          <w:p>
            <w:pPr>
              <w:jc w:val="left"/>
            </w:pPr>
            <w:r>
              <w:rPr>
                <w:b w:val="false"/>
                <w:bCs w:val="false"/>
              </w:rPr>
              <w:t xml:space="preserve">Single database instance is a single point of failure.</w:t>
            </w:r>
          </w:p>
        </w:tc>
        <w:tc>
          <w:tcPr>
            <w:tcW w:type="dxa" w:w="5800"/>
            <w:tcMar>
              <w:top w:type="dxa" w:w="80"/>
              <w:left w:type="dxa" w:w="100"/>
              <w:bottom w:type="dxa" w:w="80"/>
              <w:right w:type="dxa" w:w="100"/>
            </w:tcMar>
          </w:tcPr>
          <w:p>
            <w:pPr>
              <w:jc w:val="left"/>
            </w:pPr>
            <w:r>
              <w:rPr>
                <w:b w:val="false"/>
                <w:bCs w:val="false"/>
              </w:rPr>
              <w:t xml:space="preserve">Scheduled backups and, for a production deployment, a read replica / failover configuration.</w:t>
            </w:r>
          </w:p>
        </w:tc>
      </w:tr>
      <w:tr>
        <w:tc>
          <w:tcPr>
            <w:tcW w:type="dxa" w:w="3560"/>
            <w:tcMar>
              <w:top w:type="dxa" w:w="80"/>
              <w:left w:type="dxa" w:w="100"/>
              <w:bottom w:type="dxa" w:w="80"/>
              <w:right w:type="dxa" w:w="100"/>
            </w:tcMar>
          </w:tcPr>
          <w:p>
            <w:pPr>
              <w:jc w:val="left"/>
            </w:pPr>
            <w:r>
              <w:rPr>
                <w:b w:val="false"/>
                <w:bCs w:val="false"/>
              </w:rPr>
              <w:t xml:space="preserve">Repeated login attempts (credential stuffing).</w:t>
            </w:r>
          </w:p>
        </w:tc>
        <w:tc>
          <w:tcPr>
            <w:tcW w:type="dxa" w:w="5800"/>
            <w:tcMar>
              <w:top w:type="dxa" w:w="80"/>
              <w:left w:type="dxa" w:w="100"/>
              <w:bottom w:type="dxa" w:w="80"/>
              <w:right w:type="dxa" w:w="100"/>
            </w:tcMar>
          </w:tcPr>
          <w:p>
            <w:pPr>
              <w:jc w:val="left"/>
            </w:pPr>
            <w:r>
              <w:rPr>
                <w:b w:val="false"/>
                <w:bCs w:val="false"/>
              </w:rPr>
              <w:t xml:space="preserve">Account lockout after 5 consecutive failed attempts, with the event written to the audit log (OEP-F-004, OEP-SR-005).</w:t>
            </w:r>
          </w:p>
        </w:tc>
      </w:tr>
    </w:tbl>
    <w:p>
      <w:pPr>
        <w:pStyle w:val="Heading2"/>
        <w:spacing w:after="120" w:before="260"/>
      </w:pPr>
      <w:r>
        <w:t xml:space="preserve">3.8 Traceability to Requirements</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5600"/>
        <w:gridCol w:w="3760"/>
      </w:tblGrid>
      <w:tr>
        <w:trPr>
          <w:tblHeader/>
        </w:trPr>
        <w:tc>
          <w:tcPr>
            <w:tcW w:type="dxa" w:w="5600"/>
            <w:shd w:fill="2C5282" w:val="clear"/>
            <w:tcMar>
              <w:top w:type="dxa" w:w="80"/>
              <w:left w:type="dxa" w:w="100"/>
              <w:bottom w:type="dxa" w:w="80"/>
              <w:right w:type="dxa" w:w="100"/>
            </w:tcMar>
          </w:tcPr>
          <w:p>
            <w:pPr>
              <w:jc w:val="left"/>
            </w:pPr>
            <w:r>
              <w:rPr>
                <w:b/>
                <w:bCs/>
                <w:color w:val="FFFFFF"/>
              </w:rPr>
              <w:t xml:space="preserve">Requirement Group</w:t>
            </w:r>
          </w:p>
        </w:tc>
        <w:tc>
          <w:tcPr>
            <w:tcW w:type="dxa" w:w="3760"/>
            <w:shd w:fill="2C5282" w:val="clear"/>
            <w:tcMar>
              <w:top w:type="dxa" w:w="80"/>
              <w:left w:type="dxa" w:w="100"/>
              <w:bottom w:type="dxa" w:w="80"/>
              <w:right w:type="dxa" w:w="100"/>
            </w:tcMar>
          </w:tcPr>
          <w:p>
            <w:pPr>
              <w:jc w:val="left"/>
            </w:pPr>
            <w:r>
              <w:rPr>
                <w:b/>
                <w:bCs/>
                <w:color w:val="FFFFFF"/>
              </w:rPr>
              <w:t xml:space="preserve">Component</w:t>
            </w:r>
          </w:p>
        </w:tc>
      </w:tr>
      <w:tr>
        <w:tc>
          <w:tcPr>
            <w:tcW w:type="dxa" w:w="5600"/>
            <w:tcMar>
              <w:top w:type="dxa" w:w="80"/>
              <w:left w:type="dxa" w:w="100"/>
              <w:bottom w:type="dxa" w:w="80"/>
              <w:right w:type="dxa" w:w="100"/>
            </w:tcMar>
          </w:tcPr>
          <w:p>
            <w:pPr>
              <w:jc w:val="left"/>
            </w:pPr>
            <w:r>
              <w:rPr>
                <w:b w:val="false"/>
                <w:bCs w:val="false"/>
              </w:rPr>
              <w:t xml:space="preserve">OEP-F-001 – OEP-F-004 (Authentication &amp; Access Control)</w:t>
            </w:r>
          </w:p>
        </w:tc>
        <w:tc>
          <w:tcPr>
            <w:tcW w:type="dxa" w:w="3760"/>
            <w:tcMar>
              <w:top w:type="dxa" w:w="80"/>
              <w:left w:type="dxa" w:w="100"/>
              <w:bottom w:type="dxa" w:w="80"/>
              <w:right w:type="dxa" w:w="100"/>
            </w:tcMar>
          </w:tcPr>
          <w:p>
            <w:pPr>
              <w:jc w:val="left"/>
            </w:pPr>
            <w:r>
              <w:rPr>
                <w:b w:val="false"/>
                <w:bCs w:val="false"/>
              </w:rPr>
              <w:t xml:space="preserve">Auth Service</w:t>
            </w:r>
          </w:p>
        </w:tc>
      </w:tr>
      <w:tr>
        <w:tc>
          <w:tcPr>
            <w:tcW w:type="dxa" w:w="5600"/>
            <w:tcMar>
              <w:top w:type="dxa" w:w="80"/>
              <w:left w:type="dxa" w:w="100"/>
              <w:bottom w:type="dxa" w:w="80"/>
              <w:right w:type="dxa" w:w="100"/>
            </w:tcMar>
          </w:tcPr>
          <w:p>
            <w:pPr>
              <w:jc w:val="left"/>
            </w:pPr>
            <w:r>
              <w:rPr>
                <w:b w:val="false"/>
                <w:bCs w:val="false"/>
              </w:rPr>
              <w:t xml:space="preserve">OEP-F-010 – OEP-F-013 (Question Bank Management)</w:t>
            </w:r>
          </w:p>
        </w:tc>
        <w:tc>
          <w:tcPr>
            <w:tcW w:type="dxa" w:w="3760"/>
            <w:tcMar>
              <w:top w:type="dxa" w:w="80"/>
              <w:left w:type="dxa" w:w="100"/>
              <w:bottom w:type="dxa" w:w="80"/>
              <w:right w:type="dxa" w:w="100"/>
            </w:tcMar>
          </w:tcPr>
          <w:p>
            <w:pPr>
              <w:jc w:val="left"/>
            </w:pPr>
            <w:r>
              <w:rPr>
                <w:b w:val="false"/>
                <w:bCs w:val="false"/>
              </w:rPr>
              <w:t xml:space="preserve">Question Bank Service</w:t>
            </w:r>
          </w:p>
        </w:tc>
      </w:tr>
      <w:tr>
        <w:tc>
          <w:tcPr>
            <w:tcW w:type="dxa" w:w="5600"/>
            <w:tcMar>
              <w:top w:type="dxa" w:w="80"/>
              <w:left w:type="dxa" w:w="100"/>
              <w:bottom w:type="dxa" w:w="80"/>
              <w:right w:type="dxa" w:w="100"/>
            </w:tcMar>
          </w:tcPr>
          <w:p>
            <w:pPr>
              <w:jc w:val="left"/>
            </w:pPr>
            <w:r>
              <w:rPr>
                <w:b w:val="false"/>
                <w:bCs w:val="false"/>
              </w:rPr>
              <w:t xml:space="preserve">OEP-F-020 – OEP-F-024 (Exam Creation &amp; Scheduling)</w:t>
            </w:r>
          </w:p>
        </w:tc>
        <w:tc>
          <w:tcPr>
            <w:tcW w:type="dxa" w:w="3760"/>
            <w:tcMar>
              <w:top w:type="dxa" w:w="80"/>
              <w:left w:type="dxa" w:w="100"/>
              <w:bottom w:type="dxa" w:w="80"/>
              <w:right w:type="dxa" w:w="100"/>
            </w:tcMar>
          </w:tcPr>
          <w:p>
            <w:pPr>
              <w:jc w:val="left"/>
            </w:pPr>
            <w:r>
              <w:rPr>
                <w:b w:val="false"/>
                <w:bCs w:val="false"/>
              </w:rPr>
              <w:t xml:space="preserve">Exam Scheduling Service</w:t>
            </w:r>
          </w:p>
        </w:tc>
      </w:tr>
      <w:tr>
        <w:tc>
          <w:tcPr>
            <w:tcW w:type="dxa" w:w="5600"/>
            <w:tcMar>
              <w:top w:type="dxa" w:w="80"/>
              <w:left w:type="dxa" w:w="100"/>
              <w:bottom w:type="dxa" w:w="80"/>
              <w:right w:type="dxa" w:w="100"/>
            </w:tcMar>
          </w:tcPr>
          <w:p>
            <w:pPr>
              <w:jc w:val="left"/>
            </w:pPr>
            <w:r>
              <w:rPr>
                <w:b w:val="false"/>
                <w:bCs w:val="false"/>
              </w:rPr>
              <w:t xml:space="preserve">OEP-F-030 – OEP-F-035 (Online Exam Delivery)</w:t>
            </w:r>
          </w:p>
        </w:tc>
        <w:tc>
          <w:tcPr>
            <w:tcW w:type="dxa" w:w="3760"/>
            <w:tcMar>
              <w:top w:type="dxa" w:w="80"/>
              <w:left w:type="dxa" w:w="100"/>
              <w:bottom w:type="dxa" w:w="80"/>
              <w:right w:type="dxa" w:w="100"/>
            </w:tcMar>
          </w:tcPr>
          <w:p>
            <w:pPr>
              <w:jc w:val="left"/>
            </w:pPr>
            <w:r>
              <w:rPr>
                <w:b w:val="false"/>
                <w:bCs w:val="false"/>
              </w:rPr>
              <w:t xml:space="preserve">Exam Delivery Service</w:t>
            </w:r>
          </w:p>
        </w:tc>
      </w:tr>
      <w:tr>
        <w:tc>
          <w:tcPr>
            <w:tcW w:type="dxa" w:w="5600"/>
            <w:tcMar>
              <w:top w:type="dxa" w:w="80"/>
              <w:left w:type="dxa" w:w="100"/>
              <w:bottom w:type="dxa" w:w="80"/>
              <w:right w:type="dxa" w:w="100"/>
            </w:tcMar>
          </w:tcPr>
          <w:p>
            <w:pPr>
              <w:jc w:val="left"/>
            </w:pPr>
            <w:r>
              <w:rPr>
                <w:b w:val="false"/>
                <w:bCs w:val="false"/>
              </w:rPr>
              <w:t xml:space="preserve">OEP-F-040 – OEP-F-043 (Evaluation &amp; Grading)</w:t>
            </w:r>
          </w:p>
        </w:tc>
        <w:tc>
          <w:tcPr>
            <w:tcW w:type="dxa" w:w="3760"/>
            <w:tcMar>
              <w:top w:type="dxa" w:w="80"/>
              <w:left w:type="dxa" w:w="100"/>
              <w:bottom w:type="dxa" w:w="80"/>
              <w:right w:type="dxa" w:w="100"/>
            </w:tcMar>
          </w:tcPr>
          <w:p>
            <w:pPr>
              <w:jc w:val="left"/>
            </w:pPr>
            <w:r>
              <w:rPr>
                <w:b w:val="false"/>
                <w:bCs w:val="false"/>
              </w:rPr>
              <w:t xml:space="preserve">Evaluation Service</w:t>
            </w:r>
          </w:p>
        </w:tc>
      </w:tr>
      <w:tr>
        <w:tc>
          <w:tcPr>
            <w:tcW w:type="dxa" w:w="5600"/>
            <w:tcMar>
              <w:top w:type="dxa" w:w="80"/>
              <w:left w:type="dxa" w:w="100"/>
              <w:bottom w:type="dxa" w:w="80"/>
              <w:right w:type="dxa" w:w="100"/>
            </w:tcMar>
          </w:tcPr>
          <w:p>
            <w:pPr>
              <w:jc w:val="left"/>
            </w:pPr>
            <w:r>
              <w:rPr>
                <w:b w:val="false"/>
                <w:bCs w:val="false"/>
              </w:rPr>
              <w:t xml:space="preserve">OEP-F-050 – OEP-F-053 (Result Processing &amp; Reporting)</w:t>
            </w:r>
          </w:p>
        </w:tc>
        <w:tc>
          <w:tcPr>
            <w:tcW w:type="dxa" w:w="3760"/>
            <w:tcMar>
              <w:top w:type="dxa" w:w="80"/>
              <w:left w:type="dxa" w:w="100"/>
              <w:bottom w:type="dxa" w:w="80"/>
              <w:right w:type="dxa" w:w="100"/>
            </w:tcMar>
          </w:tcPr>
          <w:p>
            <w:pPr>
              <w:jc w:val="left"/>
            </w:pPr>
            <w:r>
              <w:rPr>
                <w:b w:val="false"/>
                <w:bCs w:val="false"/>
              </w:rPr>
              <w:t xml:space="preserve">Reporting Service</w:t>
            </w:r>
          </w:p>
        </w:tc>
      </w:tr>
      <w:tr>
        <w:tc>
          <w:tcPr>
            <w:tcW w:type="dxa" w:w="5600"/>
            <w:tcMar>
              <w:top w:type="dxa" w:w="80"/>
              <w:left w:type="dxa" w:w="100"/>
              <w:bottom w:type="dxa" w:w="80"/>
              <w:right w:type="dxa" w:w="100"/>
            </w:tcMar>
          </w:tcPr>
          <w:p>
            <w:pPr>
              <w:jc w:val="left"/>
            </w:pPr>
            <w:r>
              <w:rPr>
                <w:b w:val="false"/>
                <w:bCs w:val="false"/>
              </w:rPr>
              <w:t xml:space="preserve">OEP-F-060 – OEP-F-063 (Administration &amp; Monitoring)</w:t>
            </w:r>
          </w:p>
        </w:tc>
        <w:tc>
          <w:tcPr>
            <w:tcW w:type="dxa" w:w="3760"/>
            <w:tcMar>
              <w:top w:type="dxa" w:w="80"/>
              <w:left w:type="dxa" w:w="100"/>
              <w:bottom w:type="dxa" w:w="80"/>
              <w:right w:type="dxa" w:w="100"/>
            </w:tcMar>
          </w:tcPr>
          <w:p>
            <w:pPr>
              <w:jc w:val="left"/>
            </w:pPr>
            <w:r>
              <w:rPr>
                <w:b w:val="false"/>
                <w:bCs w:val="false"/>
              </w:rPr>
              <w:t xml:space="preserve">Admin Service</w:t>
            </w:r>
          </w:p>
        </w:tc>
      </w:tr>
      <w:tr>
        <w:tc>
          <w:tcPr>
            <w:tcW w:type="dxa" w:w="5600"/>
            <w:tcMar>
              <w:top w:type="dxa" w:w="80"/>
              <w:left w:type="dxa" w:w="100"/>
              <w:bottom w:type="dxa" w:w="80"/>
              <w:right w:type="dxa" w:w="100"/>
            </w:tcMar>
          </w:tcPr>
          <w:p>
            <w:pPr>
              <w:jc w:val="left"/>
            </w:pPr>
            <w:r>
              <w:rPr>
                <w:b w:val="false"/>
                <w:bCs w:val="false"/>
              </w:rPr>
              <w:t xml:space="preserve">OEP-NF-004 (Audit / Retention)</w:t>
            </w:r>
          </w:p>
        </w:tc>
        <w:tc>
          <w:tcPr>
            <w:tcW w:type="dxa" w:w="3760"/>
            <w:tcMar>
              <w:top w:type="dxa" w:w="80"/>
              <w:left w:type="dxa" w:w="100"/>
              <w:bottom w:type="dxa" w:w="80"/>
              <w:right w:type="dxa" w:w="100"/>
            </w:tcMar>
          </w:tcPr>
          <w:p>
            <w:pPr>
              <w:jc w:val="left"/>
            </w:pPr>
            <w:r>
              <w:rPr>
                <w:b w:val="false"/>
                <w:bCs w:val="false"/>
              </w:rPr>
              <w:t xml:space="preserve">Audit &amp; Logging Service</w:t>
            </w:r>
          </w:p>
        </w:tc>
      </w:tr>
      <w:tr>
        <w:tc>
          <w:tcPr>
            <w:tcW w:type="dxa" w:w="5600"/>
            <w:tcMar>
              <w:top w:type="dxa" w:w="80"/>
              <w:left w:type="dxa" w:w="100"/>
              <w:bottom w:type="dxa" w:w="80"/>
              <w:right w:type="dxa" w:w="100"/>
            </w:tcMar>
          </w:tcPr>
          <w:p>
            <w:pPr>
              <w:jc w:val="left"/>
            </w:pPr>
            <w:r>
              <w:rPr>
                <w:b w:val="false"/>
                <w:bCs w:val="false"/>
              </w:rPr>
              <w:t xml:space="preserve">OEP-SR-001 – OEP-SR-006 (Security requirements)</w:t>
            </w:r>
          </w:p>
        </w:tc>
        <w:tc>
          <w:tcPr>
            <w:tcW w:type="dxa" w:w="3760"/>
            <w:tcMar>
              <w:top w:type="dxa" w:w="80"/>
              <w:left w:type="dxa" w:w="100"/>
              <w:bottom w:type="dxa" w:w="80"/>
              <w:right w:type="dxa" w:w="100"/>
            </w:tcMar>
          </w:tcPr>
          <w:p>
            <w:pPr>
              <w:jc w:val="left"/>
            </w:pPr>
            <w:r>
              <w:rPr>
                <w:b w:val="false"/>
                <w:bCs w:val="false"/>
              </w:rPr>
              <w:t xml:space="preserve">REST API Layer, Auth Service, Exam Delivery Service (see §3.9)</w:t>
            </w:r>
          </w:p>
        </w:tc>
      </w:tr>
    </w:tbl>
    <w:p>
      <w:pPr>
        <w:pStyle w:val="Heading2"/>
        <w:spacing w:after="120" w:before="260"/>
      </w:pPr>
      <w:r>
        <w:t xml:space="preserve">3.9 Security Architecture</w:t>
      </w:r>
    </w:p>
    <w:p>
      <w:pPr>
        <w:spacing w:after="160" w:line="276"/>
      </w:pPr>
      <w:r>
        <w:t xml:space="preserve">Threat Modeling (STRIDE):</w:t>
      </w:r>
    </w:p>
    <w:tbl>
      <w:tblPr>
        <w:tblW w:type="dxa" w:w="9360"/>
        <w:tblBorders>
          <w:top w:val="single" w:color="A0AEC0" w:sz="4"/>
          <w:left w:val="single" w:color="A0AEC0" w:sz="4"/>
          <w:bottom w:val="single" w:color="A0AEC0" w:sz="4"/>
          <w:right w:val="single" w:color="A0AEC0" w:sz="4"/>
          <w:insideH w:val="single" w:color="CBD5E0" w:sz="4"/>
          <w:insideV w:val="single" w:color="CBD5E0" w:sz="4"/>
        </w:tblBorders>
      </w:tblPr>
      <w:tblGrid>
        <w:gridCol w:w="2100"/>
        <w:gridCol w:w="4600"/>
        <w:gridCol w:w="2660"/>
      </w:tblGrid>
      <w:tr>
        <w:trPr>
          <w:tblHeader/>
        </w:trPr>
        <w:tc>
          <w:tcPr>
            <w:tcW w:type="dxa" w:w="2100"/>
            <w:shd w:fill="2C5282" w:val="clear"/>
            <w:tcMar>
              <w:top w:type="dxa" w:w="80"/>
              <w:left w:type="dxa" w:w="100"/>
              <w:bottom w:type="dxa" w:w="80"/>
              <w:right w:type="dxa" w:w="100"/>
            </w:tcMar>
          </w:tcPr>
          <w:p>
            <w:pPr>
              <w:jc w:val="left"/>
            </w:pPr>
            <w:r>
              <w:rPr>
                <w:b/>
                <w:bCs/>
                <w:color w:val="FFFFFF"/>
              </w:rPr>
              <w:t xml:space="preserve">Threat</w:t>
            </w:r>
          </w:p>
        </w:tc>
        <w:tc>
          <w:tcPr>
            <w:tcW w:type="dxa" w:w="4600"/>
            <w:shd w:fill="2C5282" w:val="clear"/>
            <w:tcMar>
              <w:top w:type="dxa" w:w="80"/>
              <w:left w:type="dxa" w:w="100"/>
              <w:bottom w:type="dxa" w:w="80"/>
              <w:right w:type="dxa" w:w="100"/>
            </w:tcMar>
          </w:tcPr>
          <w:p>
            <w:pPr>
              <w:jc w:val="left"/>
            </w:pPr>
            <w:r>
              <w:rPr>
                <w:b/>
                <w:bCs/>
                <w:color w:val="FFFFFF"/>
              </w:rPr>
              <w:t xml:space="preserve">Mitigation</w:t>
            </w:r>
          </w:p>
        </w:tc>
        <w:tc>
          <w:tcPr>
            <w:tcW w:type="dxa" w:w="2660"/>
            <w:shd w:fill="2C5282" w:val="clear"/>
            <w:tcMar>
              <w:top w:type="dxa" w:w="80"/>
              <w:left w:type="dxa" w:w="100"/>
              <w:bottom w:type="dxa" w:w="80"/>
              <w:right w:type="dxa" w:w="100"/>
            </w:tcMar>
          </w:tcPr>
          <w:p>
            <w:pPr>
              <w:jc w:val="left"/>
            </w:pPr>
            <w:r>
              <w:rPr>
                <w:b/>
                <w:bCs/>
                <w:color w:val="FFFFFF"/>
              </w:rPr>
              <w:t xml:space="preserve">Related Requirement(s)</w:t>
            </w:r>
          </w:p>
        </w:tc>
      </w:tr>
      <w:tr>
        <w:tc>
          <w:tcPr>
            <w:tcW w:type="dxa" w:w="2100"/>
            <w:tcMar>
              <w:top w:type="dxa" w:w="80"/>
              <w:left w:type="dxa" w:w="100"/>
              <w:bottom w:type="dxa" w:w="80"/>
              <w:right w:type="dxa" w:w="100"/>
            </w:tcMar>
          </w:tcPr>
          <w:p>
            <w:pPr>
              <w:jc w:val="left"/>
            </w:pPr>
            <w:r>
              <w:rPr>
                <w:b w:val="false"/>
                <w:bCs w:val="false"/>
              </w:rPr>
              <w:t xml:space="preserve">Spoofing</w:t>
            </w:r>
          </w:p>
        </w:tc>
        <w:tc>
          <w:tcPr>
            <w:tcW w:type="dxa" w:w="4600"/>
            <w:tcMar>
              <w:top w:type="dxa" w:w="80"/>
              <w:left w:type="dxa" w:w="100"/>
              <w:bottom w:type="dxa" w:w="80"/>
              <w:right w:type="dxa" w:w="100"/>
            </w:tcMar>
          </w:tcPr>
          <w:p>
            <w:pPr>
              <w:jc w:val="left"/>
            </w:pPr>
            <w:r>
              <w:rPr>
                <w:b w:val="false"/>
                <w:bCs w:val="false"/>
              </w:rPr>
              <w:t xml:space="preserve">Hashed credentials (bcrypt/Argon2), server-issued session tokens, unique email/roll-number registration.</w:t>
            </w:r>
          </w:p>
        </w:tc>
        <w:tc>
          <w:tcPr>
            <w:tcW w:type="dxa" w:w="2660"/>
            <w:tcMar>
              <w:top w:type="dxa" w:w="80"/>
              <w:left w:type="dxa" w:w="100"/>
              <w:bottom w:type="dxa" w:w="80"/>
              <w:right w:type="dxa" w:w="100"/>
            </w:tcMar>
          </w:tcPr>
          <w:p>
            <w:pPr>
              <w:jc w:val="left"/>
            </w:pPr>
            <w:r>
              <w:rPr>
                <w:b w:val="false"/>
                <w:bCs w:val="false"/>
              </w:rPr>
              <w:t xml:space="preserve">OEP-F-001, OEP-F-002, OEP-SR-002</w:t>
            </w:r>
          </w:p>
        </w:tc>
      </w:tr>
      <w:tr>
        <w:tc>
          <w:tcPr>
            <w:tcW w:type="dxa" w:w="2100"/>
            <w:tcMar>
              <w:top w:type="dxa" w:w="80"/>
              <w:left w:type="dxa" w:w="100"/>
              <w:bottom w:type="dxa" w:w="80"/>
              <w:right w:type="dxa" w:w="100"/>
            </w:tcMar>
          </w:tcPr>
          <w:p>
            <w:pPr>
              <w:jc w:val="left"/>
            </w:pPr>
            <w:r>
              <w:rPr>
                <w:b w:val="false"/>
                <w:bCs w:val="false"/>
              </w:rPr>
              <w:t xml:space="preserve">Tampering</w:t>
            </w:r>
          </w:p>
        </w:tc>
        <w:tc>
          <w:tcPr>
            <w:tcW w:type="dxa" w:w="4600"/>
            <w:tcMar>
              <w:top w:type="dxa" w:w="80"/>
              <w:left w:type="dxa" w:w="100"/>
              <w:bottom w:type="dxa" w:w="80"/>
              <w:right w:type="dxa" w:w="100"/>
            </w:tcMar>
          </w:tcPr>
          <w:p>
            <w:pPr>
              <w:jc w:val="left"/>
            </w:pPr>
            <w:r>
              <w:rPr>
                <w:b w:val="false"/>
                <w:bCs w:val="false"/>
              </w:rPr>
              <w:t xml:space="preserve">Server-side RBAC on every endpoint; questions are locked from editing once attached to a live/published exam.</w:t>
            </w:r>
          </w:p>
        </w:tc>
        <w:tc>
          <w:tcPr>
            <w:tcW w:type="dxa" w:w="2660"/>
            <w:tcMar>
              <w:top w:type="dxa" w:w="80"/>
              <w:left w:type="dxa" w:w="100"/>
              <w:bottom w:type="dxa" w:w="80"/>
              <w:right w:type="dxa" w:w="100"/>
            </w:tcMar>
          </w:tcPr>
          <w:p>
            <w:pPr>
              <w:jc w:val="left"/>
            </w:pPr>
            <w:r>
              <w:rPr>
                <w:b w:val="false"/>
                <w:bCs w:val="false"/>
              </w:rPr>
              <w:t xml:space="preserve">OEP-F-003, OEP-F-013, OEP-SR-006</w:t>
            </w:r>
          </w:p>
        </w:tc>
      </w:tr>
      <w:tr>
        <w:tc>
          <w:tcPr>
            <w:tcW w:type="dxa" w:w="2100"/>
            <w:tcMar>
              <w:top w:type="dxa" w:w="80"/>
              <w:left w:type="dxa" w:w="100"/>
              <w:bottom w:type="dxa" w:w="80"/>
              <w:right w:type="dxa" w:w="100"/>
            </w:tcMar>
          </w:tcPr>
          <w:p>
            <w:pPr>
              <w:jc w:val="left"/>
            </w:pPr>
            <w:r>
              <w:rPr>
                <w:b w:val="false"/>
                <w:bCs w:val="false"/>
              </w:rPr>
              <w:t xml:space="preserve">Repudiation</w:t>
            </w:r>
          </w:p>
        </w:tc>
        <w:tc>
          <w:tcPr>
            <w:tcW w:type="dxa" w:w="4600"/>
            <w:tcMar>
              <w:top w:type="dxa" w:w="80"/>
              <w:left w:type="dxa" w:w="100"/>
              <w:bottom w:type="dxa" w:w="80"/>
              <w:right w:type="dxa" w:w="100"/>
            </w:tcMar>
          </w:tcPr>
          <w:p>
            <w:pPr>
              <w:jc w:val="left"/>
            </w:pPr>
            <w:r>
              <w:rPr>
                <w:b w:val="false"/>
                <w:bCs w:val="false"/>
              </w:rPr>
              <w:t xml:space="preserve">Append-only audit log of logins, submissions, evaluation changes and integrity flags, retained ≥1 academic year.</w:t>
            </w:r>
          </w:p>
        </w:tc>
        <w:tc>
          <w:tcPr>
            <w:tcW w:type="dxa" w:w="2660"/>
            <w:tcMar>
              <w:top w:type="dxa" w:w="80"/>
              <w:left w:type="dxa" w:w="100"/>
              <w:bottom w:type="dxa" w:w="80"/>
              <w:right w:type="dxa" w:w="100"/>
            </w:tcMar>
          </w:tcPr>
          <w:p>
            <w:pPr>
              <w:jc w:val="left"/>
            </w:pPr>
            <w:r>
              <w:rPr>
                <w:b w:val="false"/>
                <w:bCs w:val="false"/>
              </w:rPr>
              <w:t xml:space="preserve">OEP-F-004, OEP-NF-004</w:t>
            </w:r>
          </w:p>
        </w:tc>
      </w:tr>
      <w:tr>
        <w:tc>
          <w:tcPr>
            <w:tcW w:type="dxa" w:w="2100"/>
            <w:tcMar>
              <w:top w:type="dxa" w:w="80"/>
              <w:left w:type="dxa" w:w="100"/>
              <w:bottom w:type="dxa" w:w="80"/>
              <w:right w:type="dxa" w:w="100"/>
            </w:tcMar>
          </w:tcPr>
          <w:p>
            <w:pPr>
              <w:jc w:val="left"/>
            </w:pPr>
            <w:r>
              <w:rPr>
                <w:b w:val="false"/>
                <w:bCs w:val="false"/>
              </w:rPr>
              <w:t xml:space="preserve">Information Disclosure</w:t>
            </w:r>
          </w:p>
        </w:tc>
        <w:tc>
          <w:tcPr>
            <w:tcW w:type="dxa" w:w="4600"/>
            <w:tcMar>
              <w:top w:type="dxa" w:w="80"/>
              <w:left w:type="dxa" w:w="100"/>
              <w:bottom w:type="dxa" w:w="80"/>
              <w:right w:type="dxa" w:w="100"/>
            </w:tcMar>
          </w:tcPr>
          <w:p>
            <w:pPr>
              <w:jc w:val="left"/>
            </w:pPr>
            <w:r>
              <w:rPr>
                <w:b w:val="false"/>
                <w:bCs w:val="false"/>
              </w:rPr>
              <w:t xml:space="preserve">TLS 1.2+ on all traffic; answer keys withheld from the client until after the exam window closes.</w:t>
            </w:r>
          </w:p>
        </w:tc>
        <w:tc>
          <w:tcPr>
            <w:tcW w:type="dxa" w:w="2660"/>
            <w:tcMar>
              <w:top w:type="dxa" w:w="80"/>
              <w:left w:type="dxa" w:w="100"/>
              <w:bottom w:type="dxa" w:w="80"/>
              <w:right w:type="dxa" w:w="100"/>
            </w:tcMar>
          </w:tcPr>
          <w:p>
            <w:pPr>
              <w:jc w:val="left"/>
            </w:pPr>
            <w:r>
              <w:rPr>
                <w:b w:val="false"/>
                <w:bCs w:val="false"/>
              </w:rPr>
              <w:t xml:space="preserve">OEP-SR-001, OEP-SR-004</w:t>
            </w:r>
          </w:p>
        </w:tc>
      </w:tr>
      <w:tr>
        <w:tc>
          <w:tcPr>
            <w:tcW w:type="dxa" w:w="2100"/>
            <w:tcMar>
              <w:top w:type="dxa" w:w="80"/>
              <w:left w:type="dxa" w:w="100"/>
              <w:bottom w:type="dxa" w:w="80"/>
              <w:right w:type="dxa" w:w="100"/>
            </w:tcMar>
          </w:tcPr>
          <w:p>
            <w:pPr>
              <w:jc w:val="left"/>
            </w:pPr>
            <w:r>
              <w:rPr>
                <w:b w:val="false"/>
                <w:bCs w:val="false"/>
              </w:rPr>
              <w:t xml:space="preserve">Denial of Service</w:t>
            </w:r>
          </w:p>
        </w:tc>
        <w:tc>
          <w:tcPr>
            <w:tcW w:type="dxa" w:w="4600"/>
            <w:tcMar>
              <w:top w:type="dxa" w:w="80"/>
              <w:left w:type="dxa" w:w="100"/>
              <w:bottom w:type="dxa" w:w="80"/>
              <w:right w:type="dxa" w:w="100"/>
            </w:tcMar>
          </w:tcPr>
          <w:p>
            <w:pPr>
              <w:jc w:val="left"/>
            </w:pPr>
            <w:r>
              <w:rPr>
                <w:b w:val="false"/>
                <w:bCs w:val="false"/>
              </w:rPr>
              <w:t xml:space="preserve">Rate limiting on authentication endpoints, account lockout after 5 failed attempts, horizontally scalable application tier.</w:t>
            </w:r>
          </w:p>
        </w:tc>
        <w:tc>
          <w:tcPr>
            <w:tcW w:type="dxa" w:w="2660"/>
            <w:tcMar>
              <w:top w:type="dxa" w:w="80"/>
              <w:left w:type="dxa" w:w="100"/>
              <w:bottom w:type="dxa" w:w="80"/>
              <w:right w:type="dxa" w:w="100"/>
            </w:tcMar>
          </w:tcPr>
          <w:p>
            <w:pPr>
              <w:jc w:val="left"/>
            </w:pPr>
            <w:r>
              <w:rPr>
                <w:b w:val="false"/>
                <w:bCs w:val="false"/>
              </w:rPr>
              <w:t xml:space="preserve">OEP-F-004, OEP-SR-005, OEP-NF-006</w:t>
            </w:r>
          </w:p>
        </w:tc>
      </w:tr>
      <w:tr>
        <w:tc>
          <w:tcPr>
            <w:tcW w:type="dxa" w:w="2100"/>
            <w:tcMar>
              <w:top w:type="dxa" w:w="80"/>
              <w:left w:type="dxa" w:w="100"/>
              <w:bottom w:type="dxa" w:w="80"/>
              <w:right w:type="dxa" w:w="100"/>
            </w:tcMar>
          </w:tcPr>
          <w:p>
            <w:pPr>
              <w:jc w:val="left"/>
            </w:pPr>
            <w:r>
              <w:rPr>
                <w:b w:val="false"/>
                <w:bCs w:val="false"/>
              </w:rPr>
              <w:t xml:space="preserve">Elevation of Privilege</w:t>
            </w:r>
          </w:p>
        </w:tc>
        <w:tc>
          <w:tcPr>
            <w:tcW w:type="dxa" w:w="4600"/>
            <w:tcMar>
              <w:top w:type="dxa" w:w="80"/>
              <w:left w:type="dxa" w:w="100"/>
              <w:bottom w:type="dxa" w:w="80"/>
              <w:right w:type="dxa" w:w="100"/>
            </w:tcMar>
          </w:tcPr>
          <w:p>
            <w:pPr>
              <w:jc w:val="left"/>
            </w:pPr>
            <w:r>
              <w:rPr>
                <w:b w:val="false"/>
                <w:bCs w:val="false"/>
              </w:rPr>
              <w:t xml:space="preserve">Role checks are enforced at the server/API layer for every endpoint — never only hidden in the client UI.</w:t>
            </w:r>
          </w:p>
        </w:tc>
        <w:tc>
          <w:tcPr>
            <w:tcW w:type="dxa" w:w="2660"/>
            <w:tcMar>
              <w:top w:type="dxa" w:w="80"/>
              <w:left w:type="dxa" w:w="100"/>
              <w:bottom w:type="dxa" w:w="80"/>
              <w:right w:type="dxa" w:w="100"/>
            </w:tcMar>
          </w:tcPr>
          <w:p>
            <w:pPr>
              <w:jc w:val="left"/>
            </w:pPr>
            <w:r>
              <w:rPr>
                <w:b w:val="false"/>
                <w:bCs w:val="false"/>
              </w:rPr>
              <w:t xml:space="preserve">OEP-F-003, OEP-SR-006</w:t>
            </w:r>
          </w:p>
        </w:tc>
      </w:tr>
    </w:tbl>
    <w:p>
      <w:pPr>
        <w:pStyle w:val="Heading1"/>
        <w:spacing w:after="160" w:before="320"/>
      </w:pPr>
      <w:r>
        <w:t xml:space="preserve">4. Design</w:t>
      </w:r>
    </w:p>
    <w:p>
      <w:pPr>
        <w:pStyle w:val="Heading2"/>
        <w:spacing w:after="120" w:before="260"/>
      </w:pPr>
      <w:r>
        <w:t xml:space="preserve">4.1 Design Overview</w:t>
      </w:r>
    </w:p>
    <w:p>
      <w:pPr>
        <w:spacing w:after="160" w:line="276"/>
      </w:pPr>
      <w:r>
        <w:t xml:space="preserve">The Online Exam Portal is designed as the layered modules described in Section 3, each exposed through a small set of REST endpoints behind the API gateway. The two flows most central to the system — a student's exam attempt and a Faculty member's exam-authoring/grading cycle — are detailed as UML sequence diagrams below; the remaining flows (registration, admin user management, reporting) follow the same request → service → database pattern.</w:t>
      </w:r>
    </w:p>
    <w:p>
      <w:pPr>
        <w:pStyle w:val="Heading2"/>
        <w:spacing w:after="120" w:before="260"/>
      </w:pPr>
      <w:r>
        <w:t xml:space="preserve">4.2 UML Sequence Diagrams</w:t>
      </w:r>
    </w:p>
    <w:p>
      <w:pPr>
        <w:spacing w:after="160" w:line="276"/>
      </w:pPr>
      <w:r>
        <w:t xml:space="preserve">Two sequence diagrams are included below, covering the two flows most specific to this project: a student taking and submitting a timed exam, and a Faculty member creating, publishing and grading one.</w:t>
      </w:r>
    </w:p>
    <w:p>
      <w:pPr>
        <w:spacing w:after="80" w:before="120"/>
        <w:jc w:val="center"/>
      </w:pPr>
      <w:r>
        <w:drawing>
          <wp:inline distT="0" distB="0" distL="0" distR="0">
            <wp:extent cx="60388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5581650"/>
                    </a:xfrm>
                    <a:prstGeom prst="rect">
                      <a:avLst/>
                    </a:prstGeom>
                  </pic:spPr>
                </pic:pic>
              </a:graphicData>
            </a:graphic>
          </wp:inline>
        </w:drawing>
      </w:r>
    </w:p>
    <w:p>
      <w:pPr>
        <w:spacing w:after="240"/>
        <w:jc w:val="center"/>
      </w:pPr>
      <w:r>
        <w:rPr>
          <w:i/>
          <w:iCs/>
          <w:sz w:val="20"/>
          <w:szCs w:val="20"/>
        </w:rPr>
        <w:t xml:space="preserve">Figure 2: Sequence Diagram — Student Exam Attempt, Autosave &amp; Auto-Submit (OEP-F-030 to OEP-F-035, OEP-F-040)</w:t>
      </w:r>
    </w:p>
    <w:p>
      <w:pPr>
        <w:spacing w:after="80" w:before="120"/>
        <w:jc w:val="center"/>
      </w:pPr>
      <w:r>
        <w:drawing>
          <wp:inline distT="0" distB="0" distL="0" distR="0">
            <wp:extent cx="60388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5810250"/>
                    </a:xfrm>
                    <a:prstGeom prst="rect">
                      <a:avLst/>
                    </a:prstGeom>
                  </pic:spPr>
                </pic:pic>
              </a:graphicData>
            </a:graphic>
          </wp:inline>
        </w:drawing>
      </w:r>
    </w:p>
    <w:p>
      <w:pPr>
        <w:spacing w:after="240"/>
        <w:jc w:val="center"/>
      </w:pPr>
      <w:r>
        <w:rPr>
          <w:i/>
          <w:iCs/>
          <w:sz w:val="20"/>
          <w:szCs w:val="20"/>
        </w:rPr>
        <w:t xml:space="preserve">Figure 3: Sequence Diagram — Faculty Exam Creation, Publishing &amp; Subjective Grading (OEP-F-020 to OEP-F-024, OEP-F-041 to OEP-F-043)</w:t>
      </w:r>
    </w:p>
    <w:p>
      <w:pPr>
        <w:pStyle w:val="Heading2"/>
        <w:spacing w:after="120" w:before="260"/>
      </w:pPr>
      <w:r>
        <w:t xml:space="preserve">4.3 API Design</w:t>
      </w:r>
    </w:p>
    <w:p>
      <w:pPr>
        <w:spacing w:after="160" w:line="276"/>
      </w:pPr>
      <w:r>
        <w:t xml:space="preserve">Interface definitions are given for three components: Auth Service, Exam Delivery Service and Evaluation Service.</w:t>
      </w:r>
    </w:p>
    <w:p>
      <w:pPr>
        <w:pStyle w:val="Heading3"/>
        <w:spacing w:after="100" w:before="200"/>
      </w:pPr>
      <w:r>
        <w:t xml:space="preserve">Auth Service</w:t>
      </w:r>
    </w:p>
    <w:p>
      <w:pPr>
        <w:spacing w:after="160" w:line="276"/>
      </w:pPr>
      <w:r>
        <w:rPr>
          <w:b/>
          <w:bCs/>
        </w:rPr>
        <w:t xml:space="preserve">Endpoint: </w:t>
      </w:r>
      <w:r>
        <w:t xml:space="preserve">/api/auth/register</w:t>
      </w:r>
    </w:p>
    <w:p>
      <w:pPr>
        <w:spacing w:after="160" w:line="276"/>
      </w:pPr>
      <w:r>
        <w:rPr>
          <w:b/>
          <w:bCs/>
        </w:rPr>
        <w:t xml:space="preserve">Method: </w:t>
      </w:r>
      <w:r>
        <w:t xml:space="preserve">POST</w:t>
      </w:r>
    </w:p>
    <w:p>
      <w:pPr>
        <w:spacing w:after="160" w:line="276"/>
      </w:pPr>
      <w:r>
        <w:rPr>
          <w:b/>
          <w:bCs/>
        </w:rPr>
        <w:t xml:space="preserve">Request: </w:t>
      </w:r>
      <w:r>
        <w:t xml:space="preserve">{ name, email or rollNo, password, role }</w:t>
      </w:r>
    </w:p>
    <w:p>
      <w:pPr>
        <w:spacing w:after="160" w:line="276"/>
      </w:pPr>
      <w:r>
        <w:rPr>
          <w:b/>
          <w:bCs/>
        </w:rPr>
        <w:t xml:space="preserve">Response: </w:t>
      </w:r>
      <w:r>
        <w:t xml:space="preserve">{ status, userId }</w:t>
      </w:r>
    </w:p>
    <w:p>
      <w:pPr>
        <w:spacing w:after="160" w:line="276"/>
      </w:pPr>
      <w:r>
        <w:rPr>
          <w:b/>
          <w:bCs/>
        </w:rPr>
        <w:t xml:space="preserve">Errors: </w:t>
      </w:r>
      <w:r>
        <w:t xml:space="preserve">409 Email/roll number already registered · 422 Password does not meet policy</w:t>
      </w:r>
    </w:p>
    <w:p>
      <w:pPr>
        <w:spacing w:after="160" w:line="276"/>
      </w:pPr>
      <w:r>
        <w:rPr>
          <w:b/>
          <w:bCs/>
        </w:rPr>
        <w:t xml:space="preserve">Endpoint: </w:t>
      </w:r>
      <w:r>
        <w:t xml:space="preserve">/api/auth/login</w:t>
      </w:r>
    </w:p>
    <w:p>
      <w:pPr>
        <w:spacing w:after="160" w:line="276"/>
      </w:pPr>
      <w:r>
        <w:rPr>
          <w:b/>
          <w:bCs/>
        </w:rPr>
        <w:t xml:space="preserve">Method: </w:t>
      </w:r>
      <w:r>
        <w:t xml:space="preserve">POST</w:t>
      </w:r>
    </w:p>
    <w:p>
      <w:pPr>
        <w:spacing w:after="160" w:line="276"/>
      </w:pPr>
      <w:r>
        <w:rPr>
          <w:b/>
          <w:bCs/>
        </w:rPr>
        <w:t xml:space="preserve">Request: </w:t>
      </w:r>
      <w:r>
        <w:t xml:space="preserve">{ email, password }</w:t>
      </w:r>
    </w:p>
    <w:p>
      <w:pPr>
        <w:spacing w:after="160" w:line="276"/>
      </w:pPr>
      <w:r>
        <w:rPr>
          <w:b/>
          <w:bCs/>
        </w:rPr>
        <w:t xml:space="preserve">Response: </w:t>
      </w:r>
      <w:r>
        <w:t xml:space="preserve">{ status, token, role, expiresIn }</w:t>
      </w:r>
    </w:p>
    <w:p>
      <w:pPr>
        <w:spacing w:after="160" w:line="276"/>
      </w:pPr>
      <w:r>
        <w:rPr>
          <w:b/>
          <w:bCs/>
        </w:rPr>
        <w:t xml:space="preserve">Errors: </w:t>
      </w:r>
      <w:r>
        <w:t xml:space="preserve">401 Invalid credentials · 423 Account locked (5 consecutive failed attempts)</w:t>
      </w:r>
    </w:p>
    <w:p>
      <w:pPr>
        <w:pStyle w:val="Heading3"/>
        <w:spacing w:after="100" w:before="200"/>
      </w:pPr>
      <w:r>
        <w:t xml:space="preserve">Exam Delivery Service</w:t>
      </w:r>
    </w:p>
    <w:p>
      <w:pPr>
        <w:spacing w:after="160" w:line="276"/>
      </w:pPr>
      <w:r>
        <w:rPr>
          <w:b/>
          <w:bCs/>
        </w:rPr>
        <w:t xml:space="preserve">Endpoint: </w:t>
      </w:r>
      <w:r>
        <w:t xml:space="preserve">/api/exams/{examId}/start</w:t>
      </w:r>
    </w:p>
    <w:p>
      <w:pPr>
        <w:spacing w:after="160" w:line="276"/>
      </w:pPr>
      <w:r>
        <w:rPr>
          <w:b/>
          <w:bCs/>
        </w:rPr>
        <w:t xml:space="preserve">Method: </w:t>
      </w:r>
      <w:r>
        <w:t xml:space="preserve">POST</w:t>
      </w:r>
    </w:p>
    <w:p>
      <w:pPr>
        <w:spacing w:after="160" w:line="276"/>
      </w:pPr>
      <w:r>
        <w:rPr>
          <w:b/>
          <w:bCs/>
        </w:rPr>
        <w:t xml:space="preserve">Request: </w:t>
      </w:r>
      <w:r>
        <w:t xml:space="preserve">{ studentId, token }</w:t>
      </w:r>
    </w:p>
    <w:p>
      <w:pPr>
        <w:spacing w:after="160" w:line="276"/>
      </w:pPr>
      <w:r>
        <w:rPr>
          <w:b/>
          <w:bCs/>
        </w:rPr>
        <w:t xml:space="preserve">Response: </w:t>
      </w:r>
      <w:r>
        <w:t xml:space="preserve">{ status, attemptId, questions[], serverTime, endsAt }</w:t>
      </w:r>
    </w:p>
    <w:p>
      <w:pPr>
        <w:spacing w:after="160" w:line="276"/>
      </w:pPr>
      <w:r>
        <w:rPr>
          <w:b/>
          <w:bCs/>
        </w:rPr>
        <w:t xml:space="preserve">Errors: </w:t>
      </w:r>
      <w:r>
        <w:t xml:space="preserve">403 Exam not in window / already attempted · 401 Invalid token</w:t>
      </w:r>
    </w:p>
    <w:p>
      <w:pPr>
        <w:spacing w:after="160" w:line="276"/>
      </w:pPr>
      <w:r>
        <w:rPr>
          <w:b/>
          <w:bCs/>
        </w:rPr>
        <w:t xml:space="preserve">Endpoint: </w:t>
      </w:r>
      <w:r>
        <w:t xml:space="preserve">/api/exams/{examId}/attempts/{attemptId}/autosave</w:t>
      </w:r>
    </w:p>
    <w:p>
      <w:pPr>
        <w:spacing w:after="160" w:line="276"/>
      </w:pPr>
      <w:r>
        <w:rPr>
          <w:b/>
          <w:bCs/>
        </w:rPr>
        <w:t xml:space="preserve">Method: </w:t>
      </w:r>
      <w:r>
        <w:t xml:space="preserve">PUT</w:t>
      </w:r>
    </w:p>
    <w:p>
      <w:pPr>
        <w:spacing w:after="160" w:line="276"/>
      </w:pPr>
      <w:r>
        <w:rPr>
          <w:b/>
          <w:bCs/>
        </w:rPr>
        <w:t xml:space="preserve">Request: </w:t>
      </w:r>
      <w:r>
        <w:t xml:space="preserve">{ responses[] }</w:t>
      </w:r>
    </w:p>
    <w:p>
      <w:pPr>
        <w:spacing w:after="160" w:line="276"/>
      </w:pPr>
      <w:r>
        <w:rPr>
          <w:b/>
          <w:bCs/>
        </w:rPr>
        <w:t xml:space="preserve">Response: </w:t>
      </w:r>
      <w:r>
        <w:t xml:space="preserve">{ status, savedAt }</w:t>
      </w:r>
    </w:p>
    <w:p>
      <w:pPr>
        <w:spacing w:after="160" w:line="276"/>
      </w:pPr>
      <w:r>
        <w:rPr>
          <w:b/>
          <w:bCs/>
        </w:rPr>
        <w:t xml:space="preserve">Errors: </w:t>
      </w:r>
      <w:r>
        <w:t xml:space="preserve">410 Attempt already closed · 401 Unauthorized</w:t>
      </w:r>
    </w:p>
    <w:p>
      <w:pPr>
        <w:spacing w:after="160" w:line="276"/>
      </w:pPr>
      <w:r>
        <w:rPr>
          <w:b/>
          <w:bCs/>
        </w:rPr>
        <w:t xml:space="preserve">Endpoint: </w:t>
      </w:r>
      <w:r>
        <w:t xml:space="preserve">/api/exams/{examId}/attempts/{attemptId}/submit</w:t>
      </w:r>
    </w:p>
    <w:p>
      <w:pPr>
        <w:spacing w:after="160" w:line="276"/>
      </w:pPr>
      <w:r>
        <w:rPr>
          <w:b/>
          <w:bCs/>
        </w:rPr>
        <w:t xml:space="preserve">Method: </w:t>
      </w:r>
      <w:r>
        <w:t xml:space="preserve">POST</w:t>
      </w:r>
    </w:p>
    <w:p>
      <w:pPr>
        <w:spacing w:after="160" w:line="276"/>
      </w:pPr>
      <w:r>
        <w:rPr>
          <w:b/>
          <w:bCs/>
        </w:rPr>
        <w:t xml:space="preserve">Request: </w:t>
      </w:r>
      <w:r>
        <w:t xml:space="preserve">{ responses[], reason: "manual" | "timeout" }</w:t>
      </w:r>
    </w:p>
    <w:p>
      <w:pPr>
        <w:spacing w:after="160" w:line="276"/>
      </w:pPr>
      <w:r>
        <w:rPr>
          <w:b/>
          <w:bCs/>
        </w:rPr>
        <w:t xml:space="preserve">Response: </w:t>
      </w:r>
      <w:r>
        <w:t xml:space="preserve">{ status, submittedAt }</w:t>
      </w:r>
    </w:p>
    <w:p>
      <w:pPr>
        <w:spacing w:after="160" w:line="276"/>
      </w:pPr>
      <w:r>
        <w:rPr>
          <w:b/>
          <w:bCs/>
        </w:rPr>
        <w:t xml:space="preserve">Errors: </w:t>
      </w:r>
      <w:r>
        <w:t xml:space="preserve">410 Attempt already submitted</w:t>
      </w:r>
    </w:p>
    <w:p>
      <w:pPr>
        <w:pStyle w:val="Heading3"/>
        <w:spacing w:after="100" w:before="200"/>
      </w:pPr>
      <w:r>
        <w:t xml:space="preserve">Evaluation Service</w:t>
      </w:r>
    </w:p>
    <w:p>
      <w:pPr>
        <w:spacing w:after="160" w:line="276"/>
      </w:pPr>
      <w:r>
        <w:rPr>
          <w:b/>
          <w:bCs/>
        </w:rPr>
        <w:t xml:space="preserve">Endpoint: </w:t>
      </w:r>
      <w:r>
        <w:t xml:space="preserve">/api/attempts/{attemptId}/grade</w:t>
      </w:r>
    </w:p>
    <w:p>
      <w:pPr>
        <w:spacing w:after="160" w:line="276"/>
      </w:pPr>
      <w:r>
        <w:rPr>
          <w:b/>
          <w:bCs/>
        </w:rPr>
        <w:t xml:space="preserve">Method: </w:t>
      </w:r>
      <w:r>
        <w:t xml:space="preserve">POST</w:t>
      </w:r>
    </w:p>
    <w:p>
      <w:pPr>
        <w:spacing w:after="160" w:line="276"/>
      </w:pPr>
      <w:r>
        <w:rPr>
          <w:b/>
          <w:bCs/>
        </w:rPr>
        <w:t xml:space="preserve">Request: </w:t>
      </w:r>
      <w:r>
        <w:t xml:space="preserve">{ responseId, marks, feedback }</w:t>
      </w:r>
    </w:p>
    <w:p>
      <w:pPr>
        <w:spacing w:after="160" w:line="276"/>
      </w:pPr>
      <w:r>
        <w:rPr>
          <w:b/>
          <w:bCs/>
        </w:rPr>
        <w:t xml:space="preserve">Response: </w:t>
      </w:r>
      <w:r>
        <w:t xml:space="preserve">{ status, updatedScore }</w:t>
      </w:r>
    </w:p>
    <w:p>
      <w:pPr>
        <w:spacing w:after="160" w:line="276"/>
      </w:pPr>
      <w:r>
        <w:rPr>
          <w:b/>
          <w:bCs/>
        </w:rPr>
        <w:t xml:space="preserve">Errors: </w:t>
      </w:r>
      <w:r>
        <w:t xml:space="preserve">403 Not the assigned grader · 422 Marks exceed the question's maximum</w:t>
      </w:r>
    </w:p>
    <w:p>
      <w:pPr>
        <w:pStyle w:val="Heading2"/>
        <w:spacing w:after="120" w:before="260"/>
      </w:pPr>
      <w:r>
        <w:t xml:space="preserve">4.4 Error Handling, Logging &amp; Monitoring</w:t>
      </w:r>
    </w:p>
    <w:p>
      <w:pPr>
        <w:spacing w:after="160" w:line="276"/>
      </w:pPr>
      <w:r>
        <w:t xml:space="preserve">All services return a standardized JSON error envelope — { status, errorCode, message } — using the HTTP status codes shown in Section 4.3. No passwords, tokens or answer content are ever written to logs; only IDs, timestamps and event types are recorded, consistent with OEP-SR-002. The Audit &amp; Logging Service captures logins, submissions, evaluation changes and admin actions. Monitoring dashboards track the 90th-percentile response time, the number of concurrent active exam sessions, the auto-submit success rate and latency (target ≤2 seconds of expiry, per OEP-F-032), the failed-login rate, and overall server/database health — the last of these surfaced to Admin through the diagnostics panel (OEP-F-063).</w:t>
      </w:r>
    </w:p>
    <w:p>
      <w:pPr>
        <w:pStyle w:val="Heading2"/>
        <w:spacing w:after="120" w:before="260"/>
      </w:pPr>
      <w:r>
        <w:t xml:space="preserve">4.5 UX Design</w:t>
      </w:r>
    </w:p>
    <w:p>
      <w:pPr>
        <w:pStyle w:val="ListParagraph"/>
        <w:numPr>
          <w:ilvl w:val="0"/>
          <w:numId w:val="1"/>
        </w:numPr>
        <w:spacing w:after="80" w:line="276"/>
      </w:pPr>
      <w:r>
        <w:t xml:space="preserve">A distraction-minimized exam-taking screen: question navigator, an always-visible synced countdown, flag-for-review, and a single submit action with a confirmation step.</w:t>
      </w:r>
    </w:p>
    <w:p>
      <w:pPr>
        <w:pStyle w:val="ListParagraph"/>
        <w:numPr>
          <w:ilvl w:val="0"/>
          <w:numId w:val="1"/>
        </w:numPr>
        <w:spacing w:after="80" w:line="276"/>
      </w:pPr>
      <w:r>
        <w:t xml:space="preserve">Meets WCAG 2.1 AA where practical: sufficient color contrast, resizable and legible fonts, full keyboard navigation, and descriptive labels for screen readers (OEP-NF-005).</w:t>
      </w:r>
    </w:p>
    <w:p>
      <w:pPr>
        <w:pStyle w:val="ListParagraph"/>
        <w:numPr>
          <w:ilvl w:val="0"/>
          <w:numId w:val="1"/>
        </w:numPr>
        <w:spacing w:after="80" w:line="276"/>
      </w:pPr>
      <w:r>
        <w:t xml:space="preserve">A responsive layout so the same screens work on desktop, laptop and mobile browsers without a native app.</w:t>
      </w:r>
    </w:p>
    <w:p>
      <w:pPr>
        <w:pStyle w:val="ListParagraph"/>
        <w:numPr>
          <w:ilvl w:val="0"/>
          <w:numId w:val="1"/>
        </w:numPr>
        <w:spacing w:after="80" w:line="276"/>
      </w:pPr>
      <w:r>
        <w:t xml:space="preserve">A clear autosave indicator so students can see their answers are being saved as they work.</w:t>
      </w:r>
    </w:p>
    <w:p>
      <w:pPr>
        <w:pStyle w:val="ListParagraph"/>
        <w:numPr>
          <w:ilvl w:val="0"/>
          <w:numId w:val="1"/>
        </w:numPr>
        <w:spacing w:after="80" w:line="276"/>
      </w:pPr>
      <w:r>
        <w:t xml:space="preserve">Role-specific dashboards keep Admin, Faculty and Student each limited to the stats and shortcuts relevant to their role (SRS §3.1).</w:t>
      </w:r>
    </w:p>
    <w:p>
      <w:pPr>
        <w:pStyle w:val="Heading2"/>
        <w:spacing w:after="120" w:before="260"/>
      </w:pPr>
      <w:r>
        <w:t xml:space="preserve">4.6 Open Issues &amp; Next Steps</w:t>
      </w:r>
    </w:p>
    <w:p>
      <w:pPr>
        <w:pStyle w:val="ListParagraph"/>
        <w:numPr>
          <w:ilvl w:val="0"/>
          <w:numId w:val="1"/>
        </w:numPr>
        <w:spacing w:after="80" w:line="276"/>
      </w:pPr>
      <w:r>
        <w:t xml:space="preserve">Camera/biometric-based proctoring — explicitly out of scope for this version (SRS §1.2).</w:t>
      </w:r>
    </w:p>
    <w:p>
      <w:pPr>
        <w:pStyle w:val="ListParagraph"/>
        <w:numPr>
          <w:ilvl w:val="0"/>
          <w:numId w:val="1"/>
        </w:numPr>
        <w:spacing w:after="80" w:line="276"/>
      </w:pPr>
      <w:r>
        <w:t xml:space="preserve">A native mobile app.</w:t>
      </w:r>
    </w:p>
    <w:p>
      <w:pPr>
        <w:pStyle w:val="ListParagraph"/>
        <w:numPr>
          <w:ilvl w:val="0"/>
          <w:numId w:val="1"/>
        </w:numPr>
        <w:spacing w:after="80" w:line="276"/>
      </w:pPr>
      <w:r>
        <w:t xml:space="preserve">Payment gateway integration, should the portal extend to paid or certification exams.</w:t>
      </w:r>
    </w:p>
    <w:p>
      <w:pPr>
        <w:pStyle w:val="ListParagraph"/>
        <w:numPr>
          <w:ilvl w:val="0"/>
          <w:numId w:val="1"/>
        </w:numPr>
        <w:spacing w:after="80" w:line="276"/>
      </w:pPr>
      <w:r>
        <w:t xml:space="preserve">Adaptive question difficulty and AI-assisted subjective grading, as possible future enhancements.</w:t>
      </w:r>
    </w:p>
    <w:p>
      <w:pPr>
        <w:pStyle w:val="Heading1"/>
        <w:spacing w:after="160" w:before="320"/>
      </w:pPr>
      <w:r>
        <w:t xml:space="preserve">5. Appendices</w:t>
      </w:r>
    </w:p>
    <w:p>
      <w:pPr>
        <w:pStyle w:val="Heading2"/>
        <w:spacing w:after="120" w:before="260"/>
      </w:pPr>
      <w:r>
        <w:t xml:space="preserve">5.1 Glossary</w:t>
      </w:r>
    </w:p>
    <w:p>
      <w:pPr>
        <w:spacing w:after="160" w:line="276"/>
      </w:pPr>
      <w:r>
        <w:t xml:space="preserve">SRS, Admin, Faculty/Examiner, MCQ, UI/API, FR/NFR, RTM, OTP, TLS, WCAG, RBAC, REST, ADR, STRIDE — see the Definitions table in Section 1.4 for full expansions.</w:t>
      </w:r>
    </w:p>
    <w:p>
      <w:pPr>
        <w:pStyle w:val="Heading2"/>
        <w:spacing w:after="120" w:before="260"/>
      </w:pPr>
      <w:r>
        <w:t xml:space="preserve">5.2 References</w:t>
      </w:r>
    </w:p>
    <w:p>
      <w:pPr>
        <w:pStyle w:val="ListParagraph"/>
        <w:numPr>
          <w:ilvl w:val="0"/>
          <w:numId w:val="1"/>
        </w:numPr>
        <w:spacing w:after="80" w:line="276"/>
      </w:pPr>
      <w:r>
        <w:t xml:space="preserve">IEEE 42010 — Systems and software engineering: Architecture description</w:t>
      </w:r>
    </w:p>
    <w:p>
      <w:pPr>
        <w:pStyle w:val="ListParagraph"/>
        <w:numPr>
          <w:ilvl w:val="0"/>
          <w:numId w:val="1"/>
        </w:numPr>
        <w:spacing w:after="80" w:line="276"/>
      </w:pPr>
      <w:r>
        <w:t xml:space="preserve">OWASP Top 10 / Application Security Verification Standard (ASVS)</w:t>
      </w:r>
    </w:p>
    <w:p>
      <w:pPr>
        <w:pStyle w:val="ListParagraph"/>
        <w:numPr>
          <w:ilvl w:val="0"/>
          <w:numId w:val="1"/>
        </w:numPr>
        <w:spacing w:after="80" w:line="276"/>
      </w:pPr>
      <w:r>
        <w:t xml:space="preserve">NIST SP 800-160 — Systems Security Engineering</w:t>
      </w:r>
    </w:p>
    <w:p>
      <w:pPr>
        <w:pStyle w:val="ListParagraph"/>
        <w:numPr>
          <w:ilvl w:val="0"/>
          <w:numId w:val="1"/>
        </w:numPr>
        <w:spacing w:after="80" w:line="276"/>
      </w:pPr>
      <w:r>
        <w:t xml:space="preserve">WCAG 2.1 (Level AA) — Web Content Accessibility Guidelines</w:t>
      </w:r>
    </w:p>
    <w:p>
      <w:pPr>
        <w:pStyle w:val="ListParagraph"/>
        <w:numPr>
          <w:ilvl w:val="0"/>
          <w:numId w:val="1"/>
        </w:numPr>
        <w:spacing w:after="80" w:line="276"/>
      </w:pPr>
      <w:r>
        <w:t xml:space="preserve">Online Exam Portal SRS, Version 1.0 (05-09-2026)</w:t>
      </w:r>
    </w:p>
    <w:p>
      <w:pPr>
        <w:pStyle w:val="Heading2"/>
        <w:spacing w:after="120" w:before="260"/>
      </w:pPr>
      <w:r>
        <w:t xml:space="preserve">5.3 Tools</w:t>
      </w:r>
    </w:p>
    <w:p>
      <w:pPr>
        <w:pStyle w:val="ListParagraph"/>
        <w:numPr>
          <w:ilvl w:val="0"/>
          <w:numId w:val="1"/>
        </w:numPr>
        <w:spacing w:after="80" w:line="276"/>
      </w:pPr>
      <w:r>
        <w:t xml:space="preserve">Graphviz and draw.io — architecture and component diagrams</w:t>
      </w:r>
    </w:p>
    <w:p>
      <w:pPr>
        <w:pStyle w:val="ListParagraph"/>
        <w:numPr>
          <w:ilvl w:val="0"/>
          <w:numId w:val="1"/>
        </w:numPr>
        <w:spacing w:after="80" w:line="276"/>
      </w:pPr>
      <w:r>
        <w:t xml:space="preserve">Swagger / OpenAPI — API design and documentation</w:t>
      </w:r>
    </w:p>
    <w:p>
      <w:pPr>
        <w:pStyle w:val="ListParagraph"/>
        <w:numPr>
          <w:ilvl w:val="0"/>
          <w:numId w:val="1"/>
        </w:numPr>
        <w:spacing w:after="80" w:line="276"/>
      </w:pPr>
      <w:r>
        <w:t xml:space="preserve">Postman — API testing</w:t>
      </w:r>
    </w:p>
    <w:p>
      <w:pPr>
        <w:pStyle w:val="ListParagraph"/>
        <w:numPr>
          <w:ilvl w:val="0"/>
          <w:numId w:val="1"/>
        </w:numPr>
        <w:spacing w:after="80" w:line="276"/>
      </w:pPr>
      <w:r>
        <w:t xml:space="preserve">MySQL Workbench / pgAdmin — database design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6"/>
        <w:szCs w:val="16"/>
      </w:rPr>
      <w:t xml:space="preserve">Online Exam Portal — Software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b/>
      <w:bCs/>
      <w:color w:val="1F4E79"/>
      <w:sz w:val="30"/>
      <w:szCs w:val="30"/>
    </w:rPr>
  </w:style>
  <w:style w:type="paragraph" w:styleId="Heading2">
    <w:name w:val="Heading 2"/>
    <w:basedOn w:val="Normal"/>
    <w:next w:val="Normal"/>
    <w:qFormat/>
    <w:pPr>
      <w:keepNext/>
      <w:spacing w:after="120" w:before="260"/>
    </w:pPr>
    <w:rPr>
      <w:b/>
      <w:bCs/>
      <w:color w:val="2C5282"/>
      <w:sz w:val="26"/>
      <w:szCs w:val="26"/>
    </w:rPr>
  </w:style>
  <w:style w:type="paragraph" w:styleId="Heading3">
    <w:name w:val="Heading 3"/>
    <w:basedOn w:val="Normal"/>
    <w:next w:val="Normal"/>
    <w:qFormat/>
    <w:pPr>
      <w:keepNext/>
      <w:spacing w:after="100" w:before="200"/>
    </w:pPr>
    <w:rPr>
      <w:b/>
      <w:bCs/>
      <w:color w:val="2D3748"/>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c63d663a0d6698a253ec4b41c92dde4484158c01.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4202c1f779321566fc7e4f65428dd395ee60b31d.png"/><Relationship Id="rId4" Type="http://schemas.openxmlformats.org/officeDocument/2006/relationships/endnotes" Target="endnotes.xml"/><Relationship Id="rId9" Type="http://schemas.openxmlformats.org/officeDocument/2006/relationships/image" Target="media/8b99dc37a8d950f4c3e66bf97d66c396fd985183.png"/><Relationship Id="rId14"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11BC2CB43523418A016E0C976177F3" ma:contentTypeVersion="4" ma:contentTypeDescription="Create a new document." ma:contentTypeScope="" ma:versionID="be01c1dc403e8d178dbd974044d7ad2e">
  <xsd:schema xmlns:xsd="http://www.w3.org/2001/XMLSchema" xmlns:xs="http://www.w3.org/2001/XMLSchema" xmlns:p="http://schemas.microsoft.com/office/2006/metadata/properties" xmlns:ns2="33dded8d-e183-4cf9-aaec-4e58669d82f3" targetNamespace="http://schemas.microsoft.com/office/2006/metadata/properties" ma:root="true" ma:fieldsID="e045e8ceb6062df47d08401e92aae3c8" ns2:_="">
    <xsd:import namespace="33dded8d-e183-4cf9-aaec-4e58669d82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ded8d-e183-4cf9-aaec-4e58669d82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3dded8d-e183-4cf9-aaec-4e58669d82f3" xsi:nil="true"/>
  </documentManagement>
</p:properties>
</file>

<file path=customXml/itemProps1.xml><?xml version="1.0" encoding="utf-8"?>
<ds:datastoreItem xmlns:ds="http://schemas.openxmlformats.org/officeDocument/2006/customXml" ds:itemID="{7263EB46-231F-42EE-82EE-BDDD54283B6C}"/>
</file>

<file path=customXml/itemProps2.xml><?xml version="1.0" encoding="utf-8"?>
<ds:datastoreItem xmlns:ds="http://schemas.openxmlformats.org/officeDocument/2006/customXml" ds:itemID="{900C3A41-6AB7-42BC-8EA2-AEC2FD209632}"/>
</file>

<file path=customXml/itemProps3.xml><?xml version="1.0" encoding="utf-8"?>
<ds:datastoreItem xmlns:ds="http://schemas.openxmlformats.org/officeDocument/2006/customXml" ds:itemID="{B6BE83A4-1692-4A80-A3DC-FCB2F3F134C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2026-09-14T10:13:29Z</dcterms:created>
  <dcterms:modified xsi:type="dcterms:W3CDTF">2026-09-14T10:13:29Z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0x0101004B11BC2CB43523418A016E0C976177F3</vt:lpwstr>
  </property>
</Properties>
</file>