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32"/>
        </w:rPr>
        <w:t>INFORME FINAL DE PROYECTO</w:t>
      </w:r>
    </w:p>
    <w:p>
      <w:pPr>
        <w:jc w:val="center"/>
      </w:pPr>
      <w:r>
        <w:rPr>
          <w:b/>
          <w:color w:val="1F3A5F"/>
          <w:sz w:val="28"/>
        </w:rPr>
        <w:t>Sistema de Alerta Temprana de Riesgo Dinámico ante Emergencias</w:t>
        <w:br/>
        <w:t>Climáticas en el Perú mediante Arquitectura Lakehouse (Medallion),</w:t>
        <w:br/>
        <w:t>Business Intelligence y Machine Learning</w:t>
      </w:r>
    </w:p>
    <w:p/>
    <w:p>
      <w:pPr>
        <w:jc w:val="center"/>
      </w:pPr>
      <w:r>
        <w:rPr>
          <w:sz w:val="24"/>
        </w:rPr>
        <w:t>Curso: Inteligencia de Negocios (Business Intelligence)</w:t>
      </w:r>
    </w:p>
    <w:p/>
    <w:p/>
    <w:p/>
    <w:p/>
    <w:p/>
    <w:p/>
    <w:p>
      <w:pPr>
        <w:jc w:val="center"/>
      </w:pPr>
      <w:r>
        <w:t>Autor: Yeshua Chávez</w:t>
      </w:r>
    </w:p>
    <w:p>
      <w:pPr>
        <w:jc w:val="center"/>
      </w:pPr>
      <w:r>
        <w:t>Institución: Universidad Nacional Mayor de San Marcos</w:t>
      </w:r>
    </w:p>
    <w:p>
      <w:pPr>
        <w:jc w:val="center"/>
      </w:pPr>
      <w:r>
        <w:t>Naturaleza del proyecto: Proyecto personal de aprendizaje aplicado en Inteligencia de Negocios</w:t>
      </w:r>
    </w:p>
    <w:p>
      <w:pPr>
        <w:jc w:val="center"/>
      </w:pPr>
      <w:r>
        <w:t>Fecha: 2026</w:t>
      </w:r>
    </w:p>
    <w:p>
      <w:r>
        <w:br w:type="page"/>
      </w:r>
    </w:p>
    <w:p>
      <w:pPr>
        <w:pStyle w:val="Heading1"/>
      </w:pPr>
      <w:r>
        <w:t>Resumen Ejecutivo</w:t>
      </w:r>
    </w:p>
    <w:p>
      <w:r>
        <w:t>El presente informe documenta el diseño y la propuesta de implementación de un sistema de Business Intelligence con componente predictivo orientado a anticipar el riesgo dinámico de emergencias climáticas en las regiones del Perú. El proyecto resuelve una necesidad concreta de CENEPRED (Centro Nacional de Estimación, Prevención y Reducción del Riesgo de Desastres), institución peruana responsable de la gestión prospectiva del riesgo dentro del SINAGERD: complementar —sin reemplazar— su sistema SIGRID, que caracteriza el riesgo estructural y estático, con una capa de riesgo dinámico y actualizado. La solución propuesta integra el historial oficial de emergencias registradas por INDECI con tres fuentes de monitoreo activo y de actualización genuina (Open-Meteo, USGS y NASA FIRMS), procesadas mediante una arquitectura Lakehouse de tipo Medallion (Bronze, Silver, Gold) desplegada sobre Microsoft Azure. El sistema combina un componente descriptivo (cinco dashboards de Power BI con inteligencia de tiempo) y un componente predictivo (modelos de aprendizaje supervisado y no supervisado), expuestos a los usuarios finales mediante un chatbot conversacional y una aplicación web integrada que embebe los dashboards. El documento cubre la contextualización institucional, la formulación del problema, los objetivos, el marco de gobernanza de datos, la arquitectura técnica completa, la estrategia de despliegue CI/CD, los mecanismos de seguridad y los resultados analíticos esperados, tanto en su dimensión descriptiva como predictiva.</w:t>
      </w:r>
    </w:p>
    <w:p>
      <w:pPr>
        <w:pStyle w:val="Heading1"/>
      </w:pPr>
      <w:r>
        <w:t>1. Contextualización Institucional</w:t>
      </w:r>
    </w:p>
    <w:p>
      <w:pPr>
        <w:pStyle w:val="Heading2"/>
      </w:pPr>
      <w:r>
        <w:t>1.1 Marco normativo e institucional en el Perú</w:t>
      </w:r>
    </w:p>
    <w:p>
      <w:r>
        <w:t>La gestión del riesgo de desastres en el Perú está regulada por la Ley N.º 29664, que crea el Sistema Nacional de Gestión del Riesgo de Desastres (SINAGERD). Este sistema articula a dos entidades técnicas principales con roles complementarios:</w:t>
      </w:r>
    </w:p>
    <w:p>
      <w:pPr>
        <w:pStyle w:val="ListBullet"/>
      </w:pPr>
      <w:r>
        <w:t>INDECI (Instituto Nacional de Defensa Civil): responsable de la gestión reactiva, encargado del registro oficial de emergencias ocurridas a través del Sistema de Información Nacional para la Respuesta y Rehabilitación (SINPAD), con histórico disponible desde el año 2003.</w:t>
      </w:r>
    </w:p>
    <w:p>
      <w:pPr>
        <w:pStyle w:val="ListBullet"/>
      </w:pPr>
      <w:r>
        <w:t>CENEPRED (Centro Nacional de Estimación, Prevención y Reducción del Riesgo de Desastres): responsable de la gestión prospectiva y correctiva, y desarrollador del sistema SIGRID (Sistema de Información para la Gestión del Riesgo de Desastres), que provee mapas de peligro de tipo estructural y estático (geología, pendientes, zonificación).</w:t>
      </w:r>
    </w:p>
    <w:p>
      <w:r>
        <w:t>Ambas entidades publican parte de su información a través del portal nacional de datos abiertos del Estado peruano (datosabiertos.gob.pe), bajo licencia de datos abiertos gubernamentales.</w:t>
      </w:r>
    </w:p>
    <w:p>
      <w:pPr>
        <w:pStyle w:val="Heading2"/>
      </w:pPr>
      <w:r>
        <w:t>1.2 Instituciones y fuentes internacionales de monitoreo</w:t>
      </w:r>
    </w:p>
    <w:p>
      <w:r>
        <w:t>Dado que varias fuentes nacionales (SENAMHI, IGP) no cuentan con una API pública documentada de forma confiable para terceros, el proyecto incorpora tres organismos internacionales que sí operan APIs públicas de actualización genuina y que cubren el territorio peruano:</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val="clear" w:color="auto" w:fill="1F3A5F"/>
          </w:tcPr>
          <w:p>
            <w:r/>
            <w:r>
              <w:rPr>
                <w:b/>
                <w:color w:val="FFFFFF"/>
                <w:sz w:val="20"/>
              </w:rPr>
              <w:t>Institución / Servicio</w:t>
            </w:r>
          </w:p>
        </w:tc>
        <w:tc>
          <w:tcPr>
            <w:tcW w:type="dxa" w:w="3685"/>
            <w:shd w:val="clear" w:color="auto" w:fill="1F3A5F"/>
          </w:tcPr>
          <w:p>
            <w:r/>
            <w:r>
              <w:rPr>
                <w:b/>
                <w:color w:val="FFFFFF"/>
                <w:sz w:val="20"/>
              </w:rPr>
              <w:t>Naturaleza</w:t>
            </w:r>
          </w:p>
        </w:tc>
        <w:tc>
          <w:tcPr>
            <w:tcW w:type="dxa" w:w="3118"/>
            <w:shd w:val="clear" w:color="auto" w:fill="1F3A5F"/>
          </w:tcPr>
          <w:p>
            <w:r/>
            <w:r>
              <w:rPr>
                <w:b/>
                <w:color w:val="FFFFFF"/>
                <w:sz w:val="20"/>
              </w:rPr>
              <w:t>Rol en el proyecto</w:t>
            </w:r>
          </w:p>
        </w:tc>
      </w:tr>
      <w:tr>
        <w:tc>
          <w:tcPr>
            <w:tcW w:type="dxa" w:w="3118"/>
          </w:tcPr>
          <w:p>
            <w:r/>
            <w:r>
              <w:rPr>
                <w:sz w:val="20"/>
              </w:rPr>
              <w:t>Open-Meteo</w:t>
            </w:r>
          </w:p>
        </w:tc>
        <w:tc>
          <w:tcPr>
            <w:tcW w:type="dxa" w:w="3685"/>
          </w:tcPr>
          <w:p>
            <w:r/>
            <w:r>
              <w:rPr>
                <w:sz w:val="20"/>
              </w:rPr>
              <w:t>Proveedor open-source de pronóstico y clima histórico, agregando modelos de agencias meteorológicas nacionales (NOAA, DWD, ECMWF, entre otras)</w:t>
            </w:r>
          </w:p>
        </w:tc>
        <w:tc>
          <w:tcPr>
            <w:tcW w:type="dxa" w:w="3118"/>
          </w:tcPr>
          <w:p>
            <w:r/>
            <w:r>
              <w:rPr>
                <w:sz w:val="20"/>
              </w:rPr>
              <w:t>Variable de monitoreo climático diario genuino</w:t>
            </w:r>
          </w:p>
        </w:tc>
      </w:tr>
      <w:tr>
        <w:tc>
          <w:tcPr>
            <w:tcW w:type="dxa" w:w="3118"/>
          </w:tcPr>
          <w:p>
            <w:r/>
            <w:r>
              <w:rPr>
                <w:sz w:val="20"/>
              </w:rPr>
              <w:t>USGS (United States Geological Survey)</w:t>
            </w:r>
          </w:p>
        </w:tc>
        <w:tc>
          <w:tcPr>
            <w:tcW w:type="dxa" w:w="3685"/>
          </w:tcPr>
          <w:p>
            <w:r/>
            <w:r>
              <w:rPr>
                <w:sz w:val="20"/>
              </w:rPr>
              <w:t>Agencia científica del gobierno de Estados Unidos, responsable del catálogo sísmico global en tiempo real</w:t>
            </w:r>
          </w:p>
        </w:tc>
        <w:tc>
          <w:tcPr>
            <w:tcW w:type="dxa" w:w="3118"/>
          </w:tcPr>
          <w:p>
            <w:r/>
            <w:r>
              <w:rPr>
                <w:sz w:val="20"/>
              </w:rPr>
              <w:t>Variable de contexto sísmico histórico y reciente</w:t>
            </w:r>
          </w:p>
        </w:tc>
      </w:tr>
      <w:tr>
        <w:tc>
          <w:tcPr>
            <w:tcW w:type="dxa" w:w="3118"/>
          </w:tcPr>
          <w:p>
            <w:r/>
            <w:r>
              <w:rPr>
                <w:sz w:val="20"/>
              </w:rPr>
              <w:t>NASA FIRMS (Fire Information for Resource Management System)</w:t>
            </w:r>
          </w:p>
        </w:tc>
        <w:tc>
          <w:tcPr>
            <w:tcW w:type="dxa" w:w="3685"/>
          </w:tcPr>
          <w:p>
            <w:r/>
            <w:r>
              <w:rPr>
                <w:sz w:val="20"/>
              </w:rPr>
              <w:t>Plataforma de la NASA que distribuye detecciones satelitales de focos de calor casi en tiempo real (LANCE)</w:t>
            </w:r>
          </w:p>
        </w:tc>
        <w:tc>
          <w:tcPr>
            <w:tcW w:type="dxa" w:w="3118"/>
          </w:tcPr>
          <w:p>
            <w:r/>
            <w:r>
              <w:rPr>
                <w:sz w:val="20"/>
              </w:rPr>
              <w:t>Variable de detección temprana de incendios activos</w:t>
            </w:r>
          </w:p>
        </w:tc>
      </w:tr>
    </w:tbl>
    <w:p/>
    <w:p>
      <w:pPr>
        <w:pStyle w:val="Heading2"/>
      </w:pPr>
      <w:r>
        <w:t>1.3 Relevancia y vigencia del contexto</w:t>
      </w:r>
    </w:p>
    <w:p>
      <w:r>
        <w:t>El Perú declara emergencias por fenómenos climáticos de manera recurrente cada año (huaicos, inundaciones, heladas, friajes), y organismos como el Instituto Peruano de Economía (IPE) han señalado públicamente la necesidad de reforzar infraestructura crítica ante escenarios de El Niño costero. Este contexto sostiene la vigencia y la relevancia práctica del proyecto.</w:t>
      </w:r>
    </w:p>
    <w:p>
      <w:pPr>
        <w:pStyle w:val="Heading2"/>
      </w:pPr>
      <w:r>
        <w:t>1.4 Institución objetivo del proyecto</w:t>
      </w:r>
    </w:p>
    <w:p>
      <w:pPr/>
      <w:r>
        <w:t>Dentro del marco de SINAGERD, la institución cuya necesidad atiende directamente este proyecto es CENEPRED (Centro Nacional de Estimación, Prevención y Reducción del Riesgo de Desastres), responsable de la gestión prospectiva y correctiva del riesgo de desastres. CENEPRED opera actualmente SIGRID, un sistema que caracteriza el riesgo estructural y estático de un territorio (geología, pendientes, zonificación), pero que no incorpora monitoreo climático, sísmico ni de focos de calor recientes para actualizar ese riesgo de forma dinámica. Este proyecto no busca reemplazar SIGRID, sino complementarlo con una capa de riesgo dinámico por región, calculada a partir de condiciones de monitoreo activo. INDECI, en cambio, no es la institución cuya necesidad se resuelve, sino la fuente del histórico oficial de emergencias (SINPAD), utilizado como variable objetivo para entrenar los modelos predictivos del sistema.</w:t>
      </w:r>
    </w:p>
    <w:p>
      <w:pPr>
        <w:pStyle w:val="Heading1"/>
      </w:pPr>
      <w:r>
        <w:t>2. Planteamiento del Problema</w:t>
      </w:r>
    </w:p>
    <w:p>
      <w:pPr>
        <w:pStyle w:val="Heading2"/>
      </w:pPr>
      <w:r>
        <w:t>2.1 Descripción del problema</w:t>
      </w:r>
    </w:p>
    <w:p>
      <w:r>
        <w:t>A pesar de que el Perú cuenta con un sistema de información de riesgos (SIGRID - CENEPRED), este resuelve una pregunta distinta a la que aborda el presente proyecto: SIGRID caracteriza el riesgo estructural y estático de un territorio (geología, pendiente, zonificación), pero no existe, hoy, una herramienta pública que combine el comportamiento histórico de emergencias con las condiciones de monitoreo recientes (clima, actividad sísmica reciente, focos de calor activos) para estimar un riesgo dinámico y actualizado por región, con antelación suficiente para que una entidad —en particular CENEPRED, responsable de la gestión prospectiva del riesgo— pueda intervenir antes de que la emergencia ocurra o se agrave.</w:t>
      </w:r>
    </w:p>
    <w:p>
      <w:pPr>
        <w:pStyle w:val="Heading2"/>
      </w:pPr>
      <w:r>
        <w:t>2.2 Formulación del problema</w:t>
      </w:r>
    </w:p>
    <w:p>
      <w:r>
        <w:t>Pregunta de investigación: ¿En qué medida la integración de datos históricos oficiales (INDECI) con fuentes de monitoreo activo de actualización genuina (Open-Meteo, USGS y NASA FIRMS), mediante una arquitectura Lakehouse con componentes de Business Intelligence y Machine Learning, permite estimar un nivel de riesgo dinámico por región que complemente —sin reemplazar— la información de riesgo estático ya provista por SIGRID?</w:t>
      </w:r>
    </w:p>
    <w:p>
      <w:pPr>
        <w:pStyle w:val="Heading2"/>
      </w:pPr>
      <w:r>
        <w:t>2.3 Justificación</w:t>
      </w:r>
    </w:p>
    <w:p>
      <w:pPr>
        <w:pStyle w:val="ListBullet"/>
      </w:pPr>
      <w:r>
        <w:t>Pertinencia social: permite a CENEPRED, y en general a las entidades del SINAGERD, anticipar regiones en riesgo antes del cierre del periodo de emergencia, habilitando una intervención temprana.</w:t>
      </w:r>
    </w:p>
    <w:p>
      <w:pPr>
        <w:pStyle w:val="ListBullet"/>
      </w:pPr>
      <w:r>
        <w:t>Vacío específico y demostrable: se verificó que SIGRID no incorpora monitoreo climático reciente ni actualización dinámica del riesgo, lo que valida la existencia de un vacío real, no inventado.</w:t>
      </w:r>
    </w:p>
    <w:p>
      <w:pPr>
        <w:pStyle w:val="ListBullet"/>
      </w:pPr>
      <w:r>
        <w:t>Viabilidad técnica: se confirmó la existencia y accesibilidad real de las cuatro fuentes de datos utilizadas, evitando comprometerse con datos que luego no puedan obtenerse.</w:t>
      </w:r>
    </w:p>
    <w:p>
      <w:pPr>
        <w:pStyle w:val="Heading2"/>
      </w:pPr>
      <w:r>
        <w:t>2.4 Alcance y limitaciones</w:t>
      </w:r>
    </w:p>
    <w:p>
      <w:r>
        <w:t>Con el fin de mantener un problema defendible y evitar promesas técnicas no sostenibles, el proyecto delimita explícitamente lo siguiente:</w:t>
      </w:r>
    </w:p>
    <w:p>
      <w:pPr>
        <w:pStyle w:val="ListBullet"/>
      </w:pPr>
      <w:r>
        <w:t>La actividad sísmica (USGS) se utiliza únicamente como variable de contexto histórico y descriptivo. No se plantea la predicción de sismos, dado que no existe consenso científico ni metodológico que permita predecir su ocurrencia con antelación útil.</w:t>
      </w:r>
    </w:p>
    <w:p>
      <w:pPr>
        <w:pStyle w:val="ListBullet"/>
      </w:pPr>
      <w:r>
        <w:t>NASA FIRMS provee detección casi en tiempo real de focos de calor ya activos; esto se presenta como un mecanismo de alerta temprana de propagación, no como predicción de un incendio antes de que este inicie.</w:t>
      </w:r>
    </w:p>
    <w:p>
      <w:pPr>
        <w:pStyle w:val="ListBullet"/>
      </w:pPr>
      <w:r>
        <w:t>El histórico de INDECI (SINPAD) se actualiza de forma irregular, no diaria; el sistema implementa una verificación automatizada periódica en lugar de asumir actualización constante.</w:t>
      </w:r>
    </w:p>
    <w:p>
      <w:pPr>
        <w:pStyle w:val="ListBullet"/>
      </w:pPr>
      <w:r>
        <w:t>Parte de la información de INDECI se distribuye en formato geoespacial (shapefile), lo que exige el uso de librerías de procesamiento geoespacial (geopandas) además de herramientas tabulares convencionales.</w:t>
      </w:r>
    </w:p>
    <w:p>
      <w:pPr>
        <w:pStyle w:val="ListBullet"/>
      </w:pPr>
      <w:r>
        <w:t>El sistema depende de la disponibilidad continua de APIs externas (Open-Meteo, USGS, NASA FIRMS), cuya operación y condiciones de uso no están bajo control del proyecto.</w:t>
      </w:r>
    </w:p>
    <w:p>
      <w:pPr>
        <w:pStyle w:val="ListBullet"/>
      </w:pPr>
      <w:r>
        <w:t>Se descartan explícitamente del núcleo del proyecto otras fuentes evaluadas (OpenAQ, GDELT) por no ajustarse con precisión al problema de emergencias de origen físico-climático delimitado.</w:t>
      </w:r>
    </w:p>
    <w:p>
      <w:pPr>
        <w:pStyle w:val="ListBullet"/>
      </w:pPr>
      <w:r>
        <w:t>SENAMHI cuenta con datos de estaciones meteorológicas e hidrológicas (incluyendo nivel de río), accesibles hoy solo mediante herramientas de terceros no oficiales (por ejemplo, Garúa), que obtienen los datos mediante scraping del sitio web y la superación de una verificación Cloudflare, no mediante una API pública documentada. Por el mismo criterio aplicado a otras fuentes descartadas, esta opción queda fuera del núcleo del proyecto: se registra como una extensión futura evaluada y no incorporada, dado que introduce una dependencia técnica frágil incompatible con el criterio de viabilidad técnica definido en la sección 2.3. De incorporarse más adelante, su principal aporte sería la variable de nivel de río, hoy no cubierta por ninguna de las cuatro fuentes del núcleo.</w:t>
      </w:r>
    </w:p>
    <w:p>
      <w:pPr>
        <w:pStyle w:val="Heading1"/>
      </w:pPr>
      <w:r>
        <w:t>3. Objetivos</w:t>
      </w:r>
    </w:p>
    <w:p>
      <w:pPr>
        <w:pStyle w:val="Heading2"/>
      </w:pPr>
      <w:r>
        <w:t>3.1 Objetivo general</w:t>
      </w:r>
    </w:p>
    <w:p>
      <w:r>
        <w:t>Diseñar e implementar un sistema de Business Intelligence con componente predictivo que permita a CENEPRED estimar el riesgo dinámico de emergencias climáticas en las regiones del Perú, como complemento de su sistema SIGRID, integrando fuentes nacionales e internacionales de monitoreo mediante una arquitectura Lakehouse desplegada en la nube.</w:t>
      </w:r>
    </w:p>
    <w:p>
      <w:pPr>
        <w:pStyle w:val="Heading2"/>
      </w:pPr>
      <w:r>
        <w:t>3.2 Objetivos específicos</w:t>
      </w:r>
    </w:p>
    <w:p>
      <w:pPr>
        <w:pStyle w:val="ListBullet"/>
      </w:pPr>
      <w:r>
        <w:t>Diseñar una arquitectura Lakehouse de tipo Medallion (Bronze, Silver, Gold) sobre Microsoft Azure que consolide el histórico de INDECI con las fuentes de monitoreo activo (Open-Meteo, USGS, NASA FIRMS).</w:t>
      </w:r>
    </w:p>
    <w:p>
      <w:pPr>
        <w:pStyle w:val="ListBullet"/>
      </w:pPr>
      <w:r>
        <w:t>Establecer un marco de gobernanza de datos que garantice calidad, trazabilidad (linaje), catalogación y seguridad de la información a lo largo de todo su ciclo de vida.</w:t>
      </w:r>
    </w:p>
    <w:p>
      <w:pPr>
        <w:pStyle w:val="ListBullet"/>
      </w:pPr>
      <w:r>
        <w:t>Construir un modelo dimensional (esquema estrella) que soporte el análisis descriptivo multianual del comportamiento de emergencias por región, fenómeno y periodo de tiempo.</w:t>
      </w:r>
    </w:p>
    <w:p>
      <w:pPr>
        <w:pStyle w:val="ListBullet"/>
      </w:pPr>
      <w:r>
        <w:t>Implementar modelos de aprendizaje supervisado para la clasificación del riesgo de emergencia por región y modelos no supervisados para la segmentación de zonas de riesgo y la detección de anomalías.</w:t>
      </w:r>
    </w:p>
    <w:p>
      <w:pPr>
        <w:pStyle w:val="ListBullet"/>
      </w:pPr>
      <w:r>
        <w:t>Definir e implementar una estrategia de integración y despliegue continuo (CI/CD) e infraestructura como código que automatice el ciclo de vida del sistema.</w:t>
      </w:r>
    </w:p>
    <w:p>
      <w:pPr>
        <w:pStyle w:val="ListBullet"/>
      </w:pPr>
      <w:r>
        <w:t>Diseñar una capa de consumo compuesta por cinco dashboards de Power BI, un chatbot conversacional y una aplicación web que integre los resultados descriptivos y predictivos para el usuario final.</w:t>
      </w:r>
    </w:p>
    <w:p>
      <w:pPr>
        <w:pStyle w:val="Heading1"/>
      </w:pPr>
      <w:r>
        <w:t>4. Gobernanza de Datos</w:t>
      </w:r>
    </w:p>
    <w:p>
      <w:pPr>
        <w:pStyle w:val="Heading2"/>
      </w:pPr>
      <w:r>
        <w:t>4.1 Principios rectores</w:t>
      </w:r>
    </w:p>
    <w:p>
      <w:pPr>
        <w:pStyle w:val="ListBullet"/>
      </w:pPr>
      <w:r>
        <w:t>Calidad: los datos deben cumplir reglas de validación explícitas antes de avanzar de una capa a otra.</w:t>
      </w:r>
    </w:p>
    <w:p>
      <w:pPr>
        <w:pStyle w:val="ListBullet"/>
      </w:pPr>
      <w:r>
        <w:t>Trazabilidad (linaje): debe poder identificarse el origen y las transformaciones aplicadas a cada campo.</w:t>
      </w:r>
    </w:p>
    <w:p>
      <w:pPr>
        <w:pStyle w:val="ListBullet"/>
      </w:pPr>
      <w:r>
        <w:t>Catalogación: todo activo de datos debe estar documentado y ser descubrible.</w:t>
      </w:r>
    </w:p>
    <w:p>
      <w:pPr>
        <w:pStyle w:val="ListBullet"/>
      </w:pPr>
      <w:r>
        <w:t>Seguridad y control de acceso: el acceso a los datos se rige por el principio de menor privilegio.</w:t>
      </w:r>
    </w:p>
    <w:p>
      <w:pPr>
        <w:pStyle w:val="ListBullet"/>
      </w:pPr>
      <w:r>
        <w:t>Disponibilidad y continuidad: el sistema debe degradar de forma controlada ante la caída de una fuente externa.</w:t>
      </w:r>
    </w:p>
    <w:p>
      <w:pPr>
        <w:pStyle w:val="ListBullet"/>
      </w:pPr>
      <w:r>
        <w:t>Cumplimiento: se respetan las licencias de uso de cada fuente (datos abiertos del Estado peruano, dominio público de USGS, atribución requerida por NASA FIRMS y Open-Meteo).</w:t>
      </w:r>
    </w:p>
    <w:p>
      <w:pPr>
        <w:pStyle w:val="Heading2"/>
      </w:pPr>
      <w:r>
        <w:t>4.2 Roles de gobierno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1F3A5F"/>
          </w:tcPr>
          <w:p>
            <w:r/>
            <w:r>
              <w:rPr>
                <w:b/>
                <w:color w:val="FFFFFF"/>
                <w:sz w:val="20"/>
              </w:rPr>
              <w:t>Rol</w:t>
            </w:r>
          </w:p>
        </w:tc>
        <w:tc>
          <w:tcPr>
            <w:tcW w:type="dxa" w:w="3118"/>
            <w:shd w:val="clear" w:color="auto" w:fill="1F3A5F"/>
          </w:tcPr>
          <w:p>
            <w:r/>
            <w:r>
              <w:rPr>
                <w:b/>
                <w:color w:val="FFFFFF"/>
                <w:sz w:val="20"/>
              </w:rPr>
              <w:t>Responsable</w:t>
            </w:r>
          </w:p>
        </w:tc>
        <w:tc>
          <w:tcPr>
            <w:tcW w:type="dxa" w:w="4252"/>
            <w:shd w:val="clear" w:color="auto" w:fill="1F3A5F"/>
          </w:tcPr>
          <w:p>
            <w:r/>
            <w:r>
              <w:rPr>
                <w:b/>
                <w:color w:val="FFFFFF"/>
                <w:sz w:val="20"/>
              </w:rPr>
              <w:t>Función principal</w:t>
            </w:r>
          </w:p>
        </w:tc>
      </w:tr>
      <w:tr>
        <w:tc>
          <w:tcPr>
            <w:tcW w:type="dxa" w:w="2268"/>
          </w:tcPr>
          <w:p>
            <w:r/>
            <w:r>
              <w:rPr>
                <w:sz w:val="20"/>
              </w:rPr>
              <w:t>Data Owner</w:t>
            </w:r>
          </w:p>
        </w:tc>
        <w:tc>
          <w:tcPr>
            <w:tcW w:type="dxa" w:w="3118"/>
          </w:tcPr>
          <w:p>
            <w:r/>
            <w:r>
              <w:rPr>
                <w:sz w:val="20"/>
              </w:rPr>
              <w:t>Yeshua Chávez (autor del proyecto)</w:t>
            </w:r>
          </w:p>
        </w:tc>
        <w:tc>
          <w:tcPr>
            <w:tcW w:type="dxa" w:w="4252"/>
          </w:tcPr>
          <w:p>
            <w:r/>
            <w:r>
              <w:rPr>
                <w:sz w:val="20"/>
              </w:rPr>
              <w:t>Define y aprueba el alcance y uso de los datos</w:t>
            </w:r>
          </w:p>
        </w:tc>
      </w:tr>
      <w:tr>
        <w:tc>
          <w:tcPr>
            <w:tcW w:type="dxa" w:w="2268"/>
          </w:tcPr>
          <w:p>
            <w:r/>
            <w:r>
              <w:rPr>
                <w:sz w:val="20"/>
              </w:rPr>
              <w:t>Data Steward</w:t>
            </w:r>
          </w:p>
        </w:tc>
        <w:tc>
          <w:tcPr>
            <w:tcW w:type="dxa" w:w="3118"/>
          </w:tcPr>
          <w:p>
            <w:r/>
            <w:r>
              <w:rPr>
                <w:sz w:val="20"/>
              </w:rPr>
              <w:t>Yeshua Chávez (autor del proyecto)</w:t>
            </w:r>
          </w:p>
        </w:tc>
        <w:tc>
          <w:tcPr>
            <w:tcW w:type="dxa" w:w="4252"/>
          </w:tcPr>
          <w:p>
            <w:r/>
            <w:r>
              <w:rPr>
                <w:sz w:val="20"/>
              </w:rPr>
              <w:t>Garantiza calidad, documentación y cumplimiento de reglas de gobierno</w:t>
            </w:r>
          </w:p>
        </w:tc>
      </w:tr>
      <w:tr>
        <w:tc>
          <w:tcPr>
            <w:tcW w:type="dxa" w:w="2268"/>
          </w:tcPr>
          <w:p>
            <w:r/>
            <w:r>
              <w:rPr>
                <w:sz w:val="20"/>
              </w:rPr>
              <w:t>Data Engineer</w:t>
            </w:r>
          </w:p>
        </w:tc>
        <w:tc>
          <w:tcPr>
            <w:tcW w:type="dxa" w:w="3118"/>
          </w:tcPr>
          <w:p>
            <w:r/>
            <w:r>
              <w:rPr>
                <w:sz w:val="20"/>
              </w:rPr>
              <w:t>Yeshua Chávez (autor del proyecto)</w:t>
            </w:r>
          </w:p>
        </w:tc>
        <w:tc>
          <w:tcPr>
            <w:tcW w:type="dxa" w:w="4252"/>
          </w:tcPr>
          <w:p>
            <w:r/>
            <w:r>
              <w:rPr>
                <w:sz w:val="20"/>
              </w:rPr>
              <w:t>Construye y mantiene los pipelines de ingesta y transformación</w:t>
            </w:r>
          </w:p>
        </w:tc>
      </w:tr>
    </w:tbl>
    <w:p/>
    <w:p>
      <w:pPr>
        <w:pStyle w:val="Heading2"/>
      </w:pPr>
      <w:r>
        <w:t>4.3 Ciclo de vida de los datos por capa</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1F3A5F"/>
          </w:tcPr>
          <w:p>
            <w:r/>
            <w:r>
              <w:rPr>
                <w:b/>
                <w:color w:val="FFFFFF"/>
                <w:sz w:val="20"/>
              </w:rPr>
              <w:t>Capa</w:t>
            </w:r>
          </w:p>
        </w:tc>
        <w:tc>
          <w:tcPr>
            <w:tcW w:type="dxa" w:w="3402"/>
            <w:shd w:val="clear" w:color="auto" w:fill="1F3A5F"/>
          </w:tcPr>
          <w:p>
            <w:r/>
            <w:r>
              <w:rPr>
                <w:b/>
                <w:color w:val="FFFFFF"/>
                <w:sz w:val="20"/>
              </w:rPr>
              <w:t>Propósito</w:t>
            </w:r>
          </w:p>
        </w:tc>
        <w:tc>
          <w:tcPr>
            <w:tcW w:type="dxa" w:w="4535"/>
            <w:shd w:val="clear" w:color="auto" w:fill="1F3A5F"/>
          </w:tcPr>
          <w:p>
            <w:r/>
            <w:r>
              <w:rPr>
                <w:b/>
                <w:color w:val="FFFFFF"/>
                <w:sz w:val="20"/>
              </w:rPr>
              <w:t>Reglas de gobierno aplicadas</w:t>
            </w:r>
          </w:p>
        </w:tc>
      </w:tr>
      <w:tr>
        <w:tc>
          <w:tcPr>
            <w:tcW w:type="dxa" w:w="1701"/>
          </w:tcPr>
          <w:p>
            <w:r/>
            <w:r>
              <w:rPr>
                <w:sz w:val="20"/>
              </w:rPr>
              <w:t>Bronze</w:t>
            </w:r>
          </w:p>
        </w:tc>
        <w:tc>
          <w:tcPr>
            <w:tcW w:type="dxa" w:w="3402"/>
          </w:tcPr>
          <w:p>
            <w:r/>
            <w:r>
              <w:rPr>
                <w:sz w:val="20"/>
              </w:rPr>
              <w:t>Almacenamiento crudo e inmutable, formato original de cada fuente</w:t>
            </w:r>
          </w:p>
        </w:tc>
        <w:tc>
          <w:tcPr>
            <w:tcW w:type="dxa" w:w="4535"/>
          </w:tcPr>
          <w:p>
            <w:r/>
            <w:r>
              <w:rPr>
                <w:sz w:val="20"/>
              </w:rPr>
              <w:t>Registro de metadatos de ingesta (fecha, fuente, versión); sin transformación</w:t>
            </w:r>
          </w:p>
        </w:tc>
      </w:tr>
      <w:tr>
        <w:tc>
          <w:tcPr>
            <w:tcW w:type="dxa" w:w="1701"/>
          </w:tcPr>
          <w:p>
            <w:r/>
            <w:r>
              <w:rPr>
                <w:sz w:val="20"/>
              </w:rPr>
              <w:t>Silver</w:t>
            </w:r>
          </w:p>
        </w:tc>
        <w:tc>
          <w:tcPr>
            <w:tcW w:type="dxa" w:w="3402"/>
          </w:tcPr>
          <w:p>
            <w:r/>
            <w:r>
              <w:rPr>
                <w:sz w:val="20"/>
              </w:rPr>
              <w:t>Datos limpios, estandarizados y conformados</w:t>
            </w:r>
          </w:p>
        </w:tc>
        <w:tc>
          <w:tcPr>
            <w:tcW w:type="dxa" w:w="4535"/>
          </w:tcPr>
          <w:p>
            <w:r/>
            <w:r>
              <w:rPr>
                <w:sz w:val="20"/>
              </w:rPr>
              <w:t>Validación de calidad (Great Expectations), estandarización de Ubigeo (INEI), eliminación de duplicados, tipado correcto</w:t>
            </w:r>
          </w:p>
        </w:tc>
      </w:tr>
      <w:tr>
        <w:tc>
          <w:tcPr>
            <w:tcW w:type="dxa" w:w="1701"/>
          </w:tcPr>
          <w:p>
            <w:r/>
            <w:r>
              <w:rPr>
                <w:sz w:val="20"/>
              </w:rPr>
              <w:t>Gold</w:t>
            </w:r>
          </w:p>
        </w:tc>
        <w:tc>
          <w:tcPr>
            <w:tcW w:type="dxa" w:w="3402"/>
          </w:tcPr>
          <w:p>
            <w:r/>
            <w:r>
              <w:rPr>
                <w:sz w:val="20"/>
              </w:rPr>
              <w:t>Modelo dimensional listo para consumo analítico</w:t>
            </w:r>
          </w:p>
        </w:tc>
        <w:tc>
          <w:tcPr>
            <w:tcW w:type="dxa" w:w="4535"/>
          </w:tcPr>
          <w:p>
            <w:r/>
            <w:r>
              <w:rPr>
                <w:sz w:val="20"/>
              </w:rPr>
              <w:t>Reglas de negocio aplicadas, control de versiones vía Delta Lake (time travel), catalogado en Microsoft Purview</w:t>
            </w:r>
          </w:p>
        </w:tc>
      </w:tr>
    </w:tbl>
    <w:p/>
    <w:p>
      <w:pPr>
        <w:pStyle w:val="Heading2"/>
      </w:pPr>
      <w:r>
        <w:t>4.4 Catálogo y calidad de datos</w:t>
      </w:r>
    </w:p>
    <w:p>
      <w:r>
        <w:t>Microsoft Purview se emplea como catálogo central de datos, registrando el esquema de las tablas de la capa Gold y el linaje entre capas. La validación de calidad en la transición Bronze → Silver se automatiza mediante la librería Great Expectations, aplicando reglas tales como: no nulidad de campos clave (fecha, región) con una meta de completitud ≥ 98%, rangos válidos de coordenadas geográficas dentro del territorio peruano, y consistencia de códigos Ubigeo contra el catálogo oficial del INEI con una meta de 100% (sin ambigüedad geográfica admitida en el modelo dimensional).</w:t>
      </w:r>
    </w:p>
    <w:p>
      <w:pPr>
        <w:pStyle w:val="Heading2"/>
      </w:pPr>
      <w:r>
        <w:t>4.5 Fuentes de datos y su rol en el modelo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1F3A5F"/>
          </w:tcPr>
          <w:p>
            <w:r/>
            <w:r>
              <w:rPr>
                <w:b/>
                <w:color w:val="FFFFFF"/>
                <w:sz w:val="20"/>
              </w:rPr>
              <w:t>Fuente</w:t>
            </w:r>
          </w:p>
        </w:tc>
        <w:tc>
          <w:tcPr>
            <w:tcW w:type="dxa" w:w="3118"/>
            <w:shd w:val="clear" w:color="auto" w:fill="1F3A5F"/>
          </w:tcPr>
          <w:p>
            <w:r/>
            <w:r>
              <w:rPr>
                <w:b/>
                <w:color w:val="FFFFFF"/>
                <w:sz w:val="20"/>
              </w:rPr>
              <w:t>Rol analítico</w:t>
            </w:r>
          </w:p>
        </w:tc>
        <w:tc>
          <w:tcPr>
            <w:tcW w:type="dxa" w:w="2551"/>
            <w:shd w:val="clear" w:color="auto" w:fill="1F3A5F"/>
          </w:tcPr>
          <w:p>
            <w:r/>
            <w:r>
              <w:rPr>
                <w:b/>
                <w:color w:val="FFFFFF"/>
                <w:sz w:val="20"/>
              </w:rPr>
              <w:t>Frecuencia real de actualización</w:t>
            </w:r>
          </w:p>
        </w:tc>
        <w:tc>
          <w:tcPr>
            <w:tcW w:type="dxa" w:w="1701"/>
            <w:shd w:val="clear" w:color="auto" w:fill="1F3A5F"/>
          </w:tcPr>
          <w:p>
            <w:r/>
            <w:r>
              <w:rPr>
                <w:b/>
                <w:color w:val="FFFFFF"/>
                <w:sz w:val="20"/>
              </w:rPr>
              <w:t>Formato de origen</w:t>
            </w:r>
          </w:p>
        </w:tc>
      </w:tr>
      <w:tr>
        <w:tc>
          <w:tcPr>
            <w:tcW w:type="dxa" w:w="2268"/>
          </w:tcPr>
          <w:p>
            <w:r/>
            <w:r>
              <w:rPr>
                <w:sz w:val="20"/>
              </w:rPr>
              <w:t>INDECI (SINPAD)</w:t>
            </w:r>
          </w:p>
        </w:tc>
        <w:tc>
          <w:tcPr>
            <w:tcW w:type="dxa" w:w="3118"/>
          </w:tcPr>
          <w:p>
            <w:r/>
            <w:r>
              <w:rPr>
                <w:sz w:val="20"/>
              </w:rPr>
              <w:t>Variable objetivo (label): histórico oficial de emergencias</w:t>
            </w:r>
          </w:p>
        </w:tc>
        <w:tc>
          <w:tcPr>
            <w:tcW w:type="dxa" w:w="2551"/>
          </w:tcPr>
          <w:p>
            <w:r/>
            <w:r>
              <w:rPr>
                <w:sz w:val="20"/>
              </w:rPr>
              <w:t>Irregular; verificación automatizada periódica</w:t>
            </w:r>
          </w:p>
        </w:tc>
        <w:tc>
          <w:tcPr>
            <w:tcW w:type="dxa" w:w="1701"/>
          </w:tcPr>
          <w:p>
            <w:r/>
            <w:r>
              <w:rPr>
                <w:sz w:val="20"/>
              </w:rPr>
              <w:t>CSV / Shapefile</w:t>
            </w:r>
          </w:p>
        </w:tc>
      </w:tr>
      <w:tr>
        <w:tc>
          <w:tcPr>
            <w:tcW w:type="dxa" w:w="2268"/>
          </w:tcPr>
          <w:p>
            <w:r/>
            <w:r>
              <w:rPr>
                <w:sz w:val="20"/>
              </w:rPr>
              <w:t>Open-Meteo</w:t>
            </w:r>
          </w:p>
        </w:tc>
        <w:tc>
          <w:tcPr>
            <w:tcW w:type="dxa" w:w="3118"/>
          </w:tcPr>
          <w:p>
            <w:r/>
            <w:r>
              <w:rPr>
                <w:sz w:val="20"/>
              </w:rPr>
              <w:t>Variable predictora: clima diario (temperatura, precipitación)</w:t>
            </w:r>
          </w:p>
        </w:tc>
        <w:tc>
          <w:tcPr>
            <w:tcW w:type="dxa" w:w="2551"/>
          </w:tcPr>
          <w:p>
            <w:r/>
            <w:r>
              <w:rPr>
                <w:sz w:val="20"/>
              </w:rPr>
              <w:t>Diaria, genuina</w:t>
            </w:r>
          </w:p>
        </w:tc>
        <w:tc>
          <w:tcPr>
            <w:tcW w:type="dxa" w:w="1701"/>
          </w:tcPr>
          <w:p>
            <w:r/>
            <w:r>
              <w:rPr>
                <w:sz w:val="20"/>
              </w:rPr>
              <w:t>JSON (API REST)</w:t>
            </w:r>
          </w:p>
        </w:tc>
      </w:tr>
      <w:tr>
        <w:tc>
          <w:tcPr>
            <w:tcW w:type="dxa" w:w="2268"/>
          </w:tcPr>
          <w:p>
            <w:r/>
            <w:r>
              <w:rPr>
                <w:sz w:val="20"/>
              </w:rPr>
              <w:t>USGS Earthquake Catalog</w:t>
            </w:r>
          </w:p>
        </w:tc>
        <w:tc>
          <w:tcPr>
            <w:tcW w:type="dxa" w:w="3118"/>
          </w:tcPr>
          <w:p>
            <w:r/>
            <w:r>
              <w:rPr>
                <w:sz w:val="20"/>
              </w:rPr>
              <w:t>Variable de contexto: actividad sísmica histórica y reciente</w:t>
            </w:r>
          </w:p>
        </w:tc>
        <w:tc>
          <w:tcPr>
            <w:tcW w:type="dxa" w:w="2551"/>
          </w:tcPr>
          <w:p>
            <w:r/>
            <w:r>
              <w:rPr>
                <w:sz w:val="20"/>
              </w:rPr>
              <w:t>Continua / tiempo real</w:t>
            </w:r>
          </w:p>
        </w:tc>
        <w:tc>
          <w:tcPr>
            <w:tcW w:type="dxa" w:w="1701"/>
          </w:tcPr>
          <w:p>
            <w:r/>
            <w:r>
              <w:rPr>
                <w:sz w:val="20"/>
              </w:rPr>
              <w:t>JSON / GeoJSON (API REST)</w:t>
            </w:r>
          </w:p>
        </w:tc>
      </w:tr>
      <w:tr>
        <w:tc>
          <w:tcPr>
            <w:tcW w:type="dxa" w:w="2268"/>
          </w:tcPr>
          <w:p>
            <w:r/>
            <w:r>
              <w:rPr>
                <w:sz w:val="20"/>
              </w:rPr>
              <w:t>NASA FIRMS</w:t>
            </w:r>
          </w:p>
        </w:tc>
        <w:tc>
          <w:tcPr>
            <w:tcW w:type="dxa" w:w="3118"/>
          </w:tcPr>
          <w:p>
            <w:r/>
            <w:r>
              <w:rPr>
                <w:sz w:val="20"/>
              </w:rPr>
              <w:t>Variable predictora: detección de focos de calor activos</w:t>
            </w:r>
          </w:p>
        </w:tc>
        <w:tc>
          <w:tcPr>
            <w:tcW w:type="dxa" w:w="2551"/>
          </w:tcPr>
          <w:p>
            <w:r/>
            <w:r>
              <w:rPr>
                <w:sz w:val="20"/>
              </w:rPr>
              <w:t>Aproximadamente cada 3 horas</w:t>
            </w:r>
          </w:p>
        </w:tc>
        <w:tc>
          <w:tcPr>
            <w:tcW w:type="dxa" w:w="1701"/>
          </w:tcPr>
          <w:p>
            <w:r/>
            <w:r>
              <w:rPr>
                <w:sz w:val="20"/>
              </w:rPr>
              <w:t>CSV / JSON (API REST)</w:t>
            </w:r>
          </w:p>
        </w:tc>
      </w:tr>
    </w:tbl>
    <w:p/>
    <w:p>
      <w:pPr>
        <w:pStyle w:val="Heading1"/>
      </w:pPr>
      <w:r>
        <w:t>5. Arquitectura de la Solución</w:t>
      </w:r>
    </w:p>
    <w:p>
      <w:pPr>
        <w:pStyle w:val="Heading2"/>
      </w:pPr>
      <w:r>
        <w:t>5.1 Arquitectura general (Medallion)</w:t>
      </w:r>
    </w:p>
    <w:tbl>
      <w:tblPr>
        <w:tblStyle w:val="TableGrid"/>
        <w:tblW w:type="auto" w:w="0"/>
        <w:tblLook w:firstColumn="1" w:firstRow="1" w:lastColumn="0" w:lastRow="0" w:noHBand="0" w:noVBand="1" w:val="04A0"/>
      </w:tblPr>
      <w:tblGrid>
        <w:gridCol w:w="8640"/>
      </w:tblGrid>
      <w:tr>
        <w:tc>
          <w:tcPr>
            <w:tcW w:type="dxa" w:w="8640"/>
            <w:shd w:val="clear" w:color="auto" w:fill="F2F2F2"/>
          </w:tcPr>
          <w:p>
            <w:r/>
            <w:r>
              <w:rPr>
                <w:rFonts w:ascii="Consolas" w:hAnsi="Consolas"/>
                <w:sz w:val="18"/>
              </w:rPr>
              <w:t xml:space="preserve">   [INDECI - CKAN API]   [Open-Meteo API]   [USGS API]   [NASA FIRMS API]</w:t>
            </w:r>
          </w:p>
          <w:p>
            <w:r>
              <w:rPr>
                <w:rFonts w:ascii="Consolas" w:hAnsi="Consolas"/>
                <w:sz w:val="18"/>
              </w:rPr>
              <w:t xml:space="preserve">             |                 |               |               |</w:t>
            </w:r>
          </w:p>
          <w:p>
            <w:r>
              <w:rPr>
                <w:rFonts w:ascii="Consolas" w:hAnsi="Consolas"/>
                <w:sz w:val="18"/>
              </w:rPr>
              <w:t xml:space="preserve">             +--------+--------+-------+-------+---------------+</w:t>
            </w:r>
          </w:p>
          <w:p>
            <w:r>
              <w:rPr>
                <w:rFonts w:ascii="Consolas" w:hAnsi="Consolas"/>
                <w:sz w:val="18"/>
              </w:rPr>
              <w:t xml:space="preserve">                      |                |</w:t>
            </w:r>
          </w:p>
          <w:p>
            <w:r>
              <w:rPr>
                <w:rFonts w:ascii="Consolas" w:hAnsi="Consolas"/>
                <w:sz w:val="18"/>
              </w:rPr>
              <w:t xml:space="preserve">                      v                v</w:t>
            </w:r>
          </w:p>
          <w:p>
            <w:r>
              <w:rPr>
                <w:rFonts w:ascii="Consolas" w:hAnsi="Consolas"/>
                <w:sz w:val="18"/>
              </w:rPr>
              <w:t xml:space="preserve">              [ Azure Data Factory ]  (orquestación, triggers, verificación de nuevas versiones)</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w:t>
            </w:r>
          </w:p>
          <w:p>
            <w:r>
              <w:rPr>
                <w:rFonts w:ascii="Consolas" w:hAnsi="Consolas"/>
                <w:sz w:val="18"/>
              </w:rPr>
              <w:t xml:space="preserve">   |            Azure Data Lake Storage Gen2 (ADLS)            |</w:t>
            </w:r>
          </w:p>
          <w:p>
            <w:r>
              <w:rPr>
                <w:rFonts w:ascii="Consolas" w:hAnsi="Consolas"/>
                <w:sz w:val="18"/>
              </w:rPr>
              <w:t xml:space="preserve">   |   /bronze/indeci   /bronze/clima   /bronze/sismos         |</w:t>
            </w:r>
          </w:p>
          <w:p>
            <w:r>
              <w:rPr>
                <w:rFonts w:ascii="Consolas" w:hAnsi="Consolas"/>
                <w:sz w:val="18"/>
              </w:rPr>
              <w:t xml:space="preserve">   |   /bronze/incendios                                       |</w:t>
            </w:r>
          </w:p>
          <w:p>
            <w:r>
              <w:rPr>
                <w:rFonts w:ascii="Consolas" w:hAnsi="Consolas"/>
                <w:sz w:val="18"/>
              </w:rPr>
              <w:t xml:space="preserve">   |   /silver/...     (datos limpios y conformados)           |</w:t>
            </w:r>
          </w:p>
          <w:p>
            <w:r>
              <w:rPr>
                <w:rFonts w:ascii="Consolas" w:hAnsi="Consolas"/>
                <w:sz w:val="18"/>
              </w:rPr>
              <w:t xml:space="preserve">   |   /gold/...       (modelo estrella, Delta Lake)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 Azure Databricks ]  (limpieza, transformación, ML, MLflow)</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 Azure Synapse Analytics - Serverless SQL Pool ]</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 Power BI ]   [ Chatbot (Azure OpenAI + AI Search) ]   [ App Web ]</w:t>
            </w:r>
          </w:p>
        </w:tc>
      </w:tr>
    </w:tbl>
    <w:p/>
    <w:p>
      <w:pPr>
        <w:pStyle w:val="Heading2"/>
      </w:pPr>
      <w:r>
        <w:t>5.2 Descripción de capas</w:t>
      </w:r>
    </w:p>
    <w:p>
      <w:pPr>
        <w:pStyle w:val="ListBullet"/>
      </w:pPr>
      <w:r>
        <w:t>Bronze: almacenamiento crudo de cada fuente en su formato original, sin transformar, con metadatos de ingesta para trazabilidad.</w:t>
      </w:r>
    </w:p>
    <w:p>
      <w:pPr>
        <w:pStyle w:val="ListBullet"/>
      </w:pPr>
      <w:r>
        <w:t>Silver: datos limpios y estandarizados a un grano común (región - fecha), incluyendo el join geoespacial de las fuentes basadas en coordenadas (USGS, NASA FIRMS) contra los polígonos de regiones del Perú (shapefile INEI).</w:t>
      </w:r>
    </w:p>
    <w:p>
      <w:pPr>
        <w:pStyle w:val="ListBullet"/>
      </w:pPr>
      <w:r>
        <w:t>Gold: modelo dimensional (esquema estrella) listo para consumo por Power BI, los modelos de ML y el chatbot.</w:t>
      </w:r>
    </w:p>
    <w:p>
      <w:pPr>
        <w:pStyle w:val="Heading2"/>
      </w:pPr>
      <w:r>
        <w:t>5.3 Modelo estrella (capa Gold)</w:t>
      </w:r>
    </w:p>
    <w:tbl>
      <w:tblPr>
        <w:tblStyle w:val="TableGrid"/>
        <w:tblW w:type="auto" w:w="0"/>
        <w:tblLook w:firstColumn="1" w:firstRow="1" w:lastColumn="0" w:lastRow="0" w:noHBand="0" w:noVBand="1" w:val="04A0"/>
      </w:tblPr>
      <w:tblGrid>
        <w:gridCol w:w="8640"/>
      </w:tblGrid>
      <w:tr>
        <w:tc>
          <w:tcPr>
            <w:tcW w:type="dxa" w:w="8640"/>
            <w:shd w:val="clear" w:color="auto" w:fill="F2F2F2"/>
          </w:tcPr>
          <w:p>
            <w:r/>
            <w:r>
              <w:rPr>
                <w:rFonts w:ascii="Consolas" w:hAnsi="Consolas"/>
                <w:sz w:val="18"/>
              </w:rPr>
              <w:t>DIM_TIEMPO                          DIM_REGION</w:t>
            </w:r>
          </w:p>
          <w:p>
            <w:r>
              <w:rPr>
                <w:rFonts w:ascii="Consolas" w:hAnsi="Consolas"/>
                <w:sz w:val="18"/>
              </w:rPr>
              <w:t>+-------------------+               +----------------------+</w:t>
            </w:r>
          </w:p>
          <w:p>
            <w:r>
              <w:rPr>
                <w:rFonts w:ascii="Consolas" w:hAnsi="Consolas"/>
                <w:sz w:val="18"/>
              </w:rPr>
              <w:t>| fecha_id (PK)      |               | region_id (PK)        |</w:t>
            </w:r>
          </w:p>
          <w:p>
            <w:r>
              <w:rPr>
                <w:rFonts w:ascii="Consolas" w:hAnsi="Consolas"/>
                <w:sz w:val="18"/>
              </w:rPr>
              <w:t>| fecha              |               | departamento          |</w:t>
            </w:r>
          </w:p>
          <w:p>
            <w:r>
              <w:rPr>
                <w:rFonts w:ascii="Consolas" w:hAnsi="Consolas"/>
                <w:sz w:val="18"/>
              </w:rPr>
              <w:t>| mes, trimestre,año |               | provincia, distrito    |</w:t>
            </w:r>
          </w:p>
          <w:p>
            <w:r>
              <w:rPr>
                <w:rFonts w:ascii="Consolas" w:hAnsi="Consolas"/>
                <w:sz w:val="18"/>
              </w:rPr>
              <w:t>| temporada          |               | ubigeo                 |</w:t>
            </w:r>
          </w:p>
          <w:p>
            <w:r>
              <w:rPr>
                <w:rFonts w:ascii="Consolas" w:hAnsi="Consolas"/>
                <w:sz w:val="18"/>
              </w:rPr>
              <w:t>+-------------------+               | latitud, longitud      |</w:t>
            </w:r>
          </w:p>
          <w:p>
            <w:r>
              <w:rPr>
                <w:rFonts w:ascii="Consolas" w:hAnsi="Consolas"/>
                <w:sz w:val="18"/>
              </w:rPr>
              <w:t xml:space="preserve">                                     | cluster_riesgo (K-Means)|</w:t>
            </w:r>
          </w:p>
          <w:p>
            <w:r>
              <w:rPr>
                <w:rFonts w:ascii="Consolas" w:hAnsi="Consolas"/>
                <w:sz w:val="18"/>
              </w:rPr>
              <w:t>DIM_FENOMENO                        +----------------------+</w:t>
            </w:r>
          </w:p>
          <w:p>
            <w:r>
              <w:rPr>
                <w:rFonts w:ascii="Consolas" w:hAnsi="Consolas"/>
                <w:sz w:val="18"/>
              </w:rPr>
              <w:t>+----------------------+</w:t>
            </w:r>
          </w:p>
          <w:p>
            <w:r>
              <w:rPr>
                <w:rFonts w:ascii="Consolas" w:hAnsi="Consolas"/>
                <w:sz w:val="18"/>
              </w:rPr>
              <w:t>| fenomeno_id (PK)      |</w:t>
            </w:r>
          </w:p>
          <w:p>
            <w:r>
              <w:rPr>
                <w:rFonts w:ascii="Consolas" w:hAnsi="Consolas"/>
                <w:sz w:val="18"/>
              </w:rPr>
              <w:t>| tipo_fenomeno         |            FACT_MONITOREO_DIARIO</w:t>
            </w:r>
          </w:p>
          <w:p>
            <w:r>
              <w:rPr>
                <w:rFonts w:ascii="Consolas" w:hAnsi="Consolas"/>
                <w:sz w:val="18"/>
              </w:rPr>
              <w:t>| categoria             |            +---------------------------+</w:t>
            </w:r>
          </w:p>
          <w:p>
            <w:r>
              <w:rPr>
                <w:rFonts w:ascii="Consolas" w:hAnsi="Consolas"/>
                <w:sz w:val="18"/>
              </w:rPr>
              <w:t>+----------------------+            | region_id (FK)             |</w:t>
            </w:r>
          </w:p>
          <w:p>
            <w:r>
              <w:rPr>
                <w:rFonts w:ascii="Consolas" w:hAnsi="Consolas"/>
                <w:sz w:val="18"/>
              </w:rPr>
              <w:t xml:space="preserve">                                     | fecha_id (FK)              |</w:t>
            </w:r>
          </w:p>
          <w:p>
            <w:r>
              <w:rPr>
                <w:rFonts w:ascii="Consolas" w:hAnsi="Consolas"/>
                <w:sz w:val="18"/>
              </w:rPr>
              <w:t>FACT_EMERGENCIAS                    | temp_max, temp_min         |</w:t>
            </w:r>
          </w:p>
          <w:p>
            <w:r>
              <w:rPr>
                <w:rFonts w:ascii="Consolas" w:hAnsi="Consolas"/>
                <w:sz w:val="18"/>
              </w:rPr>
              <w:t>+---------------------------+       | precipitacion_mm           |</w:t>
            </w:r>
          </w:p>
          <w:p>
            <w:r>
              <w:rPr>
                <w:rFonts w:ascii="Consolas" w:hAnsi="Consolas"/>
                <w:sz w:val="18"/>
              </w:rPr>
              <w:t>| emergencia_id (PK)        |       | num_sismos_7d               |</w:t>
            </w:r>
          </w:p>
          <w:p>
            <w:r>
              <w:rPr>
                <w:rFonts w:ascii="Consolas" w:hAnsi="Consolas"/>
                <w:sz w:val="18"/>
              </w:rPr>
              <w:t>| fecha_id (FK)             |       | magnitud_max_7d              |</w:t>
            </w:r>
          </w:p>
          <w:p>
            <w:r>
              <w:rPr>
                <w:rFonts w:ascii="Consolas" w:hAnsi="Consolas"/>
                <w:sz w:val="18"/>
              </w:rPr>
              <w:t>| region_id (FK)            |       | num_focos_calor_activos      |</w:t>
            </w:r>
          </w:p>
          <w:p>
            <w:r>
              <w:rPr>
                <w:rFonts w:ascii="Consolas" w:hAnsi="Consolas"/>
                <w:sz w:val="18"/>
              </w:rPr>
              <w:t>| fenomeno_id (FK)          |       +---------------------------+</w:t>
            </w:r>
          </w:p>
          <w:p>
            <w:r>
              <w:rPr>
                <w:rFonts w:ascii="Consolas" w:hAnsi="Consolas"/>
                <w:sz w:val="18"/>
              </w:rPr>
              <w:t>| cantidad_afectados        |</w:t>
            </w:r>
          </w:p>
          <w:p>
            <w:r>
              <w:rPr>
                <w:rFonts w:ascii="Consolas" w:hAnsi="Consolas"/>
                <w:sz w:val="18"/>
              </w:rPr>
              <w:t>| viviendas_afectadas       |       FACT_PREDICCIONES</w:t>
            </w:r>
          </w:p>
          <w:p>
            <w:r>
              <w:rPr>
                <w:rFonts w:ascii="Consolas" w:hAnsi="Consolas"/>
                <w:sz w:val="18"/>
              </w:rPr>
              <w:t>| severidad                 |       +---------------------------+</w:t>
            </w:r>
          </w:p>
          <w:p>
            <w:r>
              <w:rPr>
                <w:rFonts w:ascii="Consolas" w:hAnsi="Consolas"/>
                <w:sz w:val="18"/>
              </w:rPr>
              <w:t>+---------------------------+       | prediccion_id (PK)         |</w:t>
            </w:r>
          </w:p>
          <w:p>
            <w:r>
              <w:rPr>
                <w:rFonts w:ascii="Consolas" w:hAnsi="Consolas"/>
                <w:sz w:val="18"/>
              </w:rPr>
              <w:t xml:space="preserve">                                     | region_id (FK), fecha_id (FK)|</w:t>
            </w:r>
          </w:p>
          <w:p>
            <w:r>
              <w:rPr>
                <w:rFonts w:ascii="Consolas" w:hAnsi="Consolas"/>
                <w:sz w:val="18"/>
              </w:rPr>
              <w:t xml:space="preserve">                                     | probabilidad_riesgo         |</w:t>
            </w:r>
          </w:p>
          <w:p>
            <w:r>
              <w:rPr>
                <w:rFonts w:ascii="Consolas" w:hAnsi="Consolas"/>
                <w:sz w:val="18"/>
              </w:rPr>
              <w:t xml:space="preserve">                                     | modelo_usado                |</w:t>
            </w:r>
          </w:p>
          <w:p>
            <w:r>
              <w:rPr>
                <w:rFonts w:ascii="Consolas" w:hAnsi="Consolas"/>
                <w:sz w:val="18"/>
              </w:rPr>
              <w:t xml:space="preserve">                                     +---------------------------+</w:t>
            </w:r>
          </w:p>
        </w:tc>
      </w:tr>
    </w:tbl>
    <w:p/>
    <w:p>
      <w:pPr>
        <w:pStyle w:val="Heading2"/>
      </w:pPr>
      <w:r>
        <w:t>5.4 Diccionario de datos (extracto de tablas Gold)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1F3A5F"/>
          </w:tcPr>
          <w:p>
            <w:r/>
            <w:r>
              <w:rPr>
                <w:b/>
                <w:color w:val="FFFFFF"/>
                <w:sz w:val="20"/>
              </w:rPr>
              <w:t>Tabla</w:t>
            </w:r>
          </w:p>
        </w:tc>
        <w:tc>
          <w:tcPr>
            <w:tcW w:type="dxa" w:w="2551"/>
            <w:shd w:val="clear" w:color="auto" w:fill="1F3A5F"/>
          </w:tcPr>
          <w:p>
            <w:r/>
            <w:r>
              <w:rPr>
                <w:b/>
                <w:color w:val="FFFFFF"/>
                <w:sz w:val="20"/>
              </w:rPr>
              <w:t>Campo</w:t>
            </w:r>
          </w:p>
        </w:tc>
        <w:tc>
          <w:tcPr>
            <w:tcW w:type="dxa" w:w="3685"/>
            <w:shd w:val="clear" w:color="auto" w:fill="1F3A5F"/>
          </w:tcPr>
          <w:p>
            <w:r/>
            <w:r>
              <w:rPr>
                <w:b/>
                <w:color w:val="FFFFFF"/>
                <w:sz w:val="20"/>
              </w:rPr>
              <w:t>Descripción</w:t>
            </w:r>
          </w:p>
        </w:tc>
        <w:tc>
          <w:tcPr>
            <w:tcW w:type="dxa" w:w="1417"/>
            <w:shd w:val="clear" w:color="auto" w:fill="1F3A5F"/>
          </w:tcPr>
          <w:p>
            <w:r/>
            <w:r>
              <w:rPr>
                <w:b/>
                <w:color w:val="FFFFFF"/>
                <w:sz w:val="20"/>
              </w:rPr>
              <w:t>Origen</w:t>
            </w:r>
          </w:p>
        </w:tc>
      </w:tr>
      <w:tr>
        <w:tc>
          <w:tcPr>
            <w:tcW w:type="dxa" w:w="2268"/>
          </w:tcPr>
          <w:p>
            <w:r/>
            <w:r>
              <w:rPr>
                <w:sz w:val="20"/>
              </w:rPr>
              <w:t>FACT_EMERGENCIAS</w:t>
            </w:r>
          </w:p>
        </w:tc>
        <w:tc>
          <w:tcPr>
            <w:tcW w:type="dxa" w:w="2551"/>
          </w:tcPr>
          <w:p>
            <w:r/>
            <w:r>
              <w:rPr>
                <w:sz w:val="20"/>
              </w:rPr>
              <w:t>severidad</w:t>
            </w:r>
          </w:p>
        </w:tc>
        <w:tc>
          <w:tcPr>
            <w:tcW w:type="dxa" w:w="3685"/>
          </w:tcPr>
          <w:p>
            <w:r/>
            <w:r>
              <w:rPr>
                <w:sz w:val="20"/>
              </w:rPr>
              <w:t>Nivel de severidad reportado de la emergencia</w:t>
            </w:r>
          </w:p>
        </w:tc>
        <w:tc>
          <w:tcPr>
            <w:tcW w:type="dxa" w:w="1417"/>
          </w:tcPr>
          <w:p>
            <w:r/>
            <w:r>
              <w:rPr>
                <w:sz w:val="20"/>
              </w:rPr>
              <w:t>INDECI</w:t>
            </w:r>
          </w:p>
        </w:tc>
      </w:tr>
      <w:tr>
        <w:tc>
          <w:tcPr>
            <w:tcW w:type="dxa" w:w="2268"/>
          </w:tcPr>
          <w:p>
            <w:r/>
            <w:r>
              <w:rPr>
                <w:sz w:val="20"/>
              </w:rPr>
              <w:t>FACT_MONITOREO_DIARIO</w:t>
            </w:r>
          </w:p>
        </w:tc>
        <w:tc>
          <w:tcPr>
            <w:tcW w:type="dxa" w:w="2551"/>
          </w:tcPr>
          <w:p>
            <w:r/>
            <w:r>
              <w:rPr>
                <w:sz w:val="20"/>
              </w:rPr>
              <w:t>num_sismos_7d</w:t>
            </w:r>
          </w:p>
        </w:tc>
        <w:tc>
          <w:tcPr>
            <w:tcW w:type="dxa" w:w="3685"/>
          </w:tcPr>
          <w:p>
            <w:r/>
            <w:r>
              <w:rPr>
                <w:sz w:val="20"/>
              </w:rPr>
              <w:t>Cantidad de sismos registrados en la región en los últimos 7 días</w:t>
            </w:r>
          </w:p>
        </w:tc>
        <w:tc>
          <w:tcPr>
            <w:tcW w:type="dxa" w:w="1417"/>
          </w:tcPr>
          <w:p>
            <w:r/>
            <w:r>
              <w:rPr>
                <w:sz w:val="20"/>
              </w:rPr>
              <w:t>USGS</w:t>
            </w:r>
          </w:p>
        </w:tc>
      </w:tr>
      <w:tr>
        <w:tc>
          <w:tcPr>
            <w:tcW w:type="dxa" w:w="2268"/>
          </w:tcPr>
          <w:p>
            <w:r/>
            <w:r>
              <w:rPr>
                <w:sz w:val="20"/>
              </w:rPr>
              <w:t>FACT_MONITOREO_DIARIO</w:t>
            </w:r>
          </w:p>
        </w:tc>
        <w:tc>
          <w:tcPr>
            <w:tcW w:type="dxa" w:w="2551"/>
          </w:tcPr>
          <w:p>
            <w:r/>
            <w:r>
              <w:rPr>
                <w:sz w:val="20"/>
              </w:rPr>
              <w:t>num_focos_calor_activos</w:t>
            </w:r>
          </w:p>
        </w:tc>
        <w:tc>
          <w:tcPr>
            <w:tcW w:type="dxa" w:w="3685"/>
          </w:tcPr>
          <w:p>
            <w:r/>
            <w:r>
              <w:rPr>
                <w:sz w:val="20"/>
              </w:rPr>
              <w:t>Cantidad de focos de calor detectados por satélite en la región en el día</w:t>
            </w:r>
          </w:p>
        </w:tc>
        <w:tc>
          <w:tcPr>
            <w:tcW w:type="dxa" w:w="1417"/>
          </w:tcPr>
          <w:p>
            <w:r/>
            <w:r>
              <w:rPr>
                <w:sz w:val="20"/>
              </w:rPr>
              <w:t>NASA FIRMS</w:t>
            </w:r>
          </w:p>
        </w:tc>
      </w:tr>
      <w:tr>
        <w:tc>
          <w:tcPr>
            <w:tcW w:type="dxa" w:w="2268"/>
          </w:tcPr>
          <w:p>
            <w:r/>
            <w:r>
              <w:rPr>
                <w:sz w:val="20"/>
              </w:rPr>
              <w:t>FACT_MONITOREO_DIARIO</w:t>
            </w:r>
          </w:p>
        </w:tc>
        <w:tc>
          <w:tcPr>
            <w:tcW w:type="dxa" w:w="2551"/>
          </w:tcPr>
          <w:p>
            <w:r/>
            <w:r>
              <w:rPr>
                <w:sz w:val="20"/>
              </w:rPr>
              <w:t>precipitacion_mm</w:t>
            </w:r>
          </w:p>
        </w:tc>
        <w:tc>
          <w:tcPr>
            <w:tcW w:type="dxa" w:w="3685"/>
          </w:tcPr>
          <w:p>
            <w:r/>
            <w:r>
              <w:rPr>
                <w:sz w:val="20"/>
              </w:rPr>
              <w:t>Precipitación acumulada diaria en milímetros</w:t>
            </w:r>
          </w:p>
        </w:tc>
        <w:tc>
          <w:tcPr>
            <w:tcW w:type="dxa" w:w="1417"/>
          </w:tcPr>
          <w:p>
            <w:r/>
            <w:r>
              <w:rPr>
                <w:sz w:val="20"/>
              </w:rPr>
              <w:t>Open-Meteo</w:t>
            </w:r>
          </w:p>
        </w:tc>
      </w:tr>
      <w:tr>
        <w:tc>
          <w:tcPr>
            <w:tcW w:type="dxa" w:w="2268"/>
          </w:tcPr>
          <w:p>
            <w:r/>
            <w:r>
              <w:rPr>
                <w:sz w:val="20"/>
              </w:rPr>
              <w:t>FACT_PREDICCIONES</w:t>
            </w:r>
          </w:p>
        </w:tc>
        <w:tc>
          <w:tcPr>
            <w:tcW w:type="dxa" w:w="2551"/>
          </w:tcPr>
          <w:p>
            <w:r/>
            <w:r>
              <w:rPr>
                <w:sz w:val="20"/>
              </w:rPr>
              <w:t>probabilidad_riesgo</w:t>
            </w:r>
          </w:p>
        </w:tc>
        <w:tc>
          <w:tcPr>
            <w:tcW w:type="dxa" w:w="3685"/>
          </w:tcPr>
          <w:p>
            <w:r/>
            <w:r>
              <w:rPr>
                <w:sz w:val="20"/>
              </w:rPr>
              <w:t>Probabilidad estimada por el modelo de que la región presente una emergencia en el periodo siguiente</w:t>
            </w:r>
          </w:p>
        </w:tc>
        <w:tc>
          <w:tcPr>
            <w:tcW w:type="dxa" w:w="1417"/>
          </w:tcPr>
          <w:p>
            <w:r/>
            <w:r>
              <w:rPr>
                <w:sz w:val="20"/>
              </w:rPr>
              <w:t>Modelo ML (Gold)</w:t>
            </w:r>
          </w:p>
        </w:tc>
      </w:tr>
      <w:tr>
        <w:tc>
          <w:tcPr>
            <w:tcW w:type="dxa" w:w="2268"/>
          </w:tcPr>
          <w:p>
            <w:r/>
            <w:r>
              <w:rPr>
                <w:sz w:val="20"/>
              </w:rPr>
              <w:t>DIM_REGION</w:t>
            </w:r>
          </w:p>
        </w:tc>
        <w:tc>
          <w:tcPr>
            <w:tcW w:type="dxa" w:w="2551"/>
          </w:tcPr>
          <w:p>
            <w:r/>
            <w:r>
              <w:rPr>
                <w:sz w:val="20"/>
              </w:rPr>
              <w:t>cluster_riesgo</w:t>
            </w:r>
          </w:p>
        </w:tc>
        <w:tc>
          <w:tcPr>
            <w:tcW w:type="dxa" w:w="3685"/>
          </w:tcPr>
          <w:p>
            <w:r/>
            <w:r>
              <w:rPr>
                <w:sz w:val="20"/>
              </w:rPr>
              <w:t>Segmento de riesgo asignado por el modelo de clustering (K-Means)</w:t>
            </w:r>
          </w:p>
        </w:tc>
        <w:tc>
          <w:tcPr>
            <w:tcW w:type="dxa" w:w="1417"/>
          </w:tcPr>
          <w:p>
            <w:r/>
            <w:r>
              <w:rPr>
                <w:sz w:val="20"/>
              </w:rPr>
              <w:t>Modelo ML (Gold)</w:t>
            </w:r>
          </w:p>
        </w:tc>
      </w:tr>
      <w:tr>
        <w:tc>
          <w:tcPr>
            <w:tcW w:type="dxa" w:w="2160"/>
          </w:tcPr>
          <w:p>
            <w:r>
              <w:t>FACT_EMERGENCIAS</w:t>
            </w:r>
          </w:p>
        </w:tc>
        <w:tc>
          <w:tcPr>
            <w:tcW w:type="dxa" w:w="2160"/>
          </w:tcPr>
          <w:p>
            <w:r>
              <w:t>cantidad_afectados</w:t>
            </w:r>
          </w:p>
        </w:tc>
        <w:tc>
          <w:tcPr>
            <w:tcW w:type="dxa" w:w="2160"/>
          </w:tcPr>
          <w:p>
            <w:r>
              <w:t>Número de personas afectadas reportadas para la emergencia</w:t>
            </w:r>
          </w:p>
        </w:tc>
        <w:tc>
          <w:tcPr>
            <w:tcW w:type="dxa" w:w="2160"/>
          </w:tcPr>
          <w:p>
            <w:r>
              <w:t>INDECI</w:t>
            </w:r>
          </w:p>
        </w:tc>
      </w:tr>
      <w:tr>
        <w:tc>
          <w:tcPr>
            <w:tcW w:type="dxa" w:w="2160"/>
          </w:tcPr>
          <w:p>
            <w:r>
              <w:t>FACT_EMERGENCIAS</w:t>
            </w:r>
          </w:p>
        </w:tc>
        <w:tc>
          <w:tcPr>
            <w:tcW w:type="dxa" w:w="2160"/>
          </w:tcPr>
          <w:p>
            <w:r>
              <w:t>viviendas_afectadas</w:t>
            </w:r>
          </w:p>
        </w:tc>
        <w:tc>
          <w:tcPr>
            <w:tcW w:type="dxa" w:w="2160"/>
          </w:tcPr>
          <w:p>
            <w:r>
              <w:t>Número de viviendas afectadas reportadas para la emergencia</w:t>
            </w:r>
          </w:p>
        </w:tc>
        <w:tc>
          <w:tcPr>
            <w:tcW w:type="dxa" w:w="2160"/>
          </w:tcPr>
          <w:p>
            <w:r>
              <w:t>INDECI</w:t>
            </w:r>
          </w:p>
        </w:tc>
      </w:tr>
    </w:tbl>
    <w:p/>
    <w:p>
      <w:pPr>
        <w:pStyle w:val="Heading1"/>
      </w:pPr>
      <w:r>
        <w:t>6. Servicios Cloud e Implementación (Microsoft Azure)</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1F3A5F"/>
          </w:tcPr>
          <w:p>
            <w:r/>
            <w:r>
              <w:rPr>
                <w:b/>
                <w:color w:val="FFFFFF"/>
                <w:sz w:val="20"/>
              </w:rPr>
              <w:t>Capa funcional</w:t>
            </w:r>
          </w:p>
        </w:tc>
        <w:tc>
          <w:tcPr>
            <w:tcW w:type="dxa" w:w="2835"/>
            <w:shd w:val="clear" w:color="auto" w:fill="1F3A5F"/>
          </w:tcPr>
          <w:p>
            <w:r/>
            <w:r>
              <w:rPr>
                <w:b/>
                <w:color w:val="FFFFFF"/>
                <w:sz w:val="20"/>
              </w:rPr>
              <w:t>Servicio Azure</w:t>
            </w:r>
          </w:p>
        </w:tc>
        <w:tc>
          <w:tcPr>
            <w:tcW w:type="dxa" w:w="4819"/>
            <w:shd w:val="clear" w:color="auto" w:fill="1F3A5F"/>
          </w:tcPr>
          <w:p>
            <w:r/>
            <w:r>
              <w:rPr>
                <w:b/>
                <w:color w:val="FFFFFF"/>
                <w:sz w:val="20"/>
              </w:rPr>
              <w:t>Función en el proyecto</w:t>
            </w:r>
          </w:p>
        </w:tc>
      </w:tr>
      <w:tr>
        <w:tc>
          <w:tcPr>
            <w:tcW w:type="dxa" w:w="1984"/>
          </w:tcPr>
          <w:p>
            <w:r/>
            <w:r>
              <w:rPr>
                <w:sz w:val="20"/>
              </w:rPr>
              <w:t>Ingesta / orquestación</w:t>
            </w:r>
          </w:p>
        </w:tc>
        <w:tc>
          <w:tcPr>
            <w:tcW w:type="dxa" w:w="2835"/>
          </w:tcPr>
          <w:p>
            <w:r/>
            <w:r>
              <w:rPr>
                <w:sz w:val="20"/>
              </w:rPr>
              <w:t>Azure Data Factory (ADF)</w:t>
            </w:r>
          </w:p>
        </w:tc>
        <w:tc>
          <w:tcPr>
            <w:tcW w:type="dxa" w:w="4819"/>
          </w:tcPr>
          <w:p>
            <w:r/>
            <w:r>
              <w:rPr>
                <w:sz w:val="20"/>
              </w:rPr>
              <w:t>Orquestador maestro: programa la verificación de INDECI y la ingesta diaria de Open-Meteo, USGS y NASA FIRMS</w:t>
            </w:r>
          </w:p>
        </w:tc>
      </w:tr>
      <w:tr>
        <w:tc>
          <w:tcPr>
            <w:tcW w:type="dxa" w:w="1984"/>
          </w:tcPr>
          <w:p>
            <w:r/>
            <w:r>
              <w:rPr>
                <w:sz w:val="20"/>
              </w:rPr>
              <w:t>Ingesta / lógica custom</w:t>
            </w:r>
          </w:p>
        </w:tc>
        <w:tc>
          <w:tcPr>
            <w:tcW w:type="dxa" w:w="2835"/>
          </w:tcPr>
          <w:p>
            <w:r/>
            <w:r>
              <w:rPr>
                <w:sz w:val="20"/>
              </w:rPr>
              <w:t>Azure Functions</w:t>
            </w:r>
          </w:p>
        </w:tc>
        <w:tc>
          <w:tcPr>
            <w:tcW w:type="dxa" w:w="4819"/>
          </w:tcPr>
          <w:p>
            <w:r/>
            <w:r>
              <w:rPr>
                <w:sz w:val="20"/>
              </w:rPr>
              <w:t>Ejecuta scripts Python de consulta a las APIs cuando se requiere lógica personalizada</w:t>
            </w:r>
          </w:p>
        </w:tc>
      </w:tr>
      <w:tr>
        <w:tc>
          <w:tcPr>
            <w:tcW w:type="dxa" w:w="1984"/>
          </w:tcPr>
          <w:p>
            <w:r/>
            <w:r>
              <w:rPr>
                <w:sz w:val="20"/>
              </w:rPr>
              <w:t>Almacenamiento</w:t>
            </w:r>
          </w:p>
        </w:tc>
        <w:tc>
          <w:tcPr>
            <w:tcW w:type="dxa" w:w="2835"/>
          </w:tcPr>
          <w:p>
            <w:r/>
            <w:r>
              <w:rPr>
                <w:sz w:val="20"/>
              </w:rPr>
              <w:t>Azure Data Lake Storage Gen2 (ADLS Gen2)</w:t>
            </w:r>
          </w:p>
        </w:tc>
        <w:tc>
          <w:tcPr>
            <w:tcW w:type="dxa" w:w="4819"/>
          </w:tcPr>
          <w:p>
            <w:r/>
            <w:r>
              <w:rPr>
                <w:sz w:val="20"/>
              </w:rPr>
              <w:t>Data Lake con contenedores bronze/silver/gold</w:t>
            </w:r>
          </w:p>
        </w:tc>
      </w:tr>
      <w:tr>
        <w:tc>
          <w:tcPr>
            <w:tcW w:type="dxa" w:w="1984"/>
          </w:tcPr>
          <w:p>
            <w:r/>
            <w:r>
              <w:rPr>
                <w:sz w:val="20"/>
              </w:rPr>
              <w:t>Formato de tabla</w:t>
            </w:r>
          </w:p>
        </w:tc>
        <w:tc>
          <w:tcPr>
            <w:tcW w:type="dxa" w:w="2835"/>
          </w:tcPr>
          <w:p>
            <w:r/>
            <w:r>
              <w:rPr>
                <w:sz w:val="20"/>
              </w:rPr>
              <w:t>Delta Lake</w:t>
            </w:r>
          </w:p>
        </w:tc>
        <w:tc>
          <w:tcPr>
            <w:tcW w:type="dxa" w:w="4819"/>
          </w:tcPr>
          <w:p>
            <w:r/>
            <w:r>
              <w:rPr>
                <w:sz w:val="20"/>
              </w:rPr>
              <w:t>Transacciones ACID y versionado (time travel) sobre los archivos Parquet</w:t>
            </w:r>
          </w:p>
        </w:tc>
      </w:tr>
      <w:tr>
        <w:tc>
          <w:tcPr>
            <w:tcW w:type="dxa" w:w="1984"/>
          </w:tcPr>
          <w:p>
            <w:r/>
            <w:r>
              <w:rPr>
                <w:sz w:val="20"/>
              </w:rPr>
              <w:t>Procesamiento y ML</w:t>
            </w:r>
          </w:p>
        </w:tc>
        <w:tc>
          <w:tcPr>
            <w:tcW w:type="dxa" w:w="2835"/>
          </w:tcPr>
          <w:p>
            <w:r/>
            <w:r>
              <w:rPr>
                <w:sz w:val="20"/>
              </w:rPr>
              <w:t>Azure Databricks</w:t>
            </w:r>
          </w:p>
        </w:tc>
        <w:tc>
          <w:tcPr>
            <w:tcW w:type="dxa" w:w="4819"/>
          </w:tcPr>
          <w:p>
            <w:r/>
            <w:r>
              <w:rPr>
                <w:sz w:val="20"/>
              </w:rPr>
              <w:t>Notebooks PySpark para limpieza, transformación, entrenamiento de modelos y tracking de experimentos vía MLflow</w:t>
            </w:r>
          </w:p>
        </w:tc>
      </w:tr>
      <w:tr>
        <w:tc>
          <w:tcPr>
            <w:tcW w:type="dxa" w:w="1984"/>
          </w:tcPr>
          <w:p>
            <w:r/>
            <w:r>
              <w:rPr>
                <w:sz w:val="20"/>
              </w:rPr>
              <w:t>Gobierno de datos</w:t>
            </w:r>
          </w:p>
        </w:tc>
        <w:tc>
          <w:tcPr>
            <w:tcW w:type="dxa" w:w="2835"/>
          </w:tcPr>
          <w:p>
            <w:r/>
            <w:r>
              <w:rPr>
                <w:sz w:val="20"/>
              </w:rPr>
              <w:t>Microsoft Purview</w:t>
            </w:r>
          </w:p>
        </w:tc>
        <w:tc>
          <w:tcPr>
            <w:tcW w:type="dxa" w:w="4819"/>
          </w:tcPr>
          <w:p>
            <w:r/>
            <w:r>
              <w:rPr>
                <w:sz w:val="20"/>
              </w:rPr>
              <w:t>Catálogo de datos, linaje y clasificación de sensibilidad</w:t>
            </w:r>
          </w:p>
        </w:tc>
      </w:tr>
      <w:tr>
        <w:tc>
          <w:tcPr>
            <w:tcW w:type="dxa" w:w="1984"/>
          </w:tcPr>
          <w:p>
            <w:r/>
            <w:r>
              <w:rPr>
                <w:sz w:val="20"/>
              </w:rPr>
              <w:t>Machine Learning</w:t>
            </w:r>
          </w:p>
        </w:tc>
        <w:tc>
          <w:tcPr>
            <w:tcW w:type="dxa" w:w="2835"/>
          </w:tcPr>
          <w:p>
            <w:r/>
            <w:r>
              <w:rPr>
                <w:sz w:val="20"/>
              </w:rPr>
              <w:t>Azure Machine Learning</w:t>
            </w:r>
          </w:p>
        </w:tc>
        <w:tc>
          <w:tcPr>
            <w:tcW w:type="dxa" w:w="4819"/>
          </w:tcPr>
          <w:p>
            <w:r/>
            <w:r>
              <w:rPr>
                <w:sz w:val="20"/>
              </w:rPr>
              <w:t>Registro de modelos, versionado y despliegue formal de los modelos entrenados en Databricks</w:t>
            </w:r>
          </w:p>
        </w:tc>
      </w:tr>
      <w:tr>
        <w:tc>
          <w:tcPr>
            <w:tcW w:type="dxa" w:w="1984"/>
          </w:tcPr>
          <w:p>
            <w:r/>
            <w:r>
              <w:rPr>
                <w:sz w:val="20"/>
              </w:rPr>
              <w:t>Consumo SQL</w:t>
            </w:r>
          </w:p>
        </w:tc>
        <w:tc>
          <w:tcPr>
            <w:tcW w:type="dxa" w:w="2835"/>
          </w:tcPr>
          <w:p>
            <w:r/>
            <w:r>
              <w:rPr>
                <w:sz w:val="20"/>
              </w:rPr>
              <w:t>Azure Synapse Analytics (Serverless SQL Pool)</w:t>
            </w:r>
          </w:p>
        </w:tc>
        <w:tc>
          <w:tcPr>
            <w:tcW w:type="dxa" w:w="4819"/>
          </w:tcPr>
          <w:p>
            <w:r/>
            <w:r>
              <w:rPr>
                <w:sz w:val="20"/>
              </w:rPr>
              <w:t>Consulta SQL directa sobre la capa Gold sin mover los datos</w:t>
            </w:r>
          </w:p>
        </w:tc>
      </w:tr>
      <w:tr>
        <w:tc>
          <w:tcPr>
            <w:tcW w:type="dxa" w:w="1984"/>
          </w:tcPr>
          <w:p>
            <w:r/>
            <w:r>
              <w:rPr>
                <w:sz w:val="20"/>
              </w:rPr>
              <w:t>Visualización</w:t>
            </w:r>
          </w:p>
        </w:tc>
        <w:tc>
          <w:tcPr>
            <w:tcW w:type="dxa" w:w="2835"/>
          </w:tcPr>
          <w:p>
            <w:r/>
            <w:r>
              <w:rPr>
                <w:sz w:val="20"/>
              </w:rPr>
              <w:t>Power BI</w:t>
            </w:r>
          </w:p>
        </w:tc>
        <w:tc>
          <w:tcPr>
            <w:tcW w:type="dxa" w:w="4819"/>
          </w:tcPr>
          <w:p>
            <w:r>
              <w:t>Cinco dashboards descriptivos y predictivos (ver sección 9)</w:t>
            </w:r>
          </w:p>
        </w:tc>
      </w:tr>
      <w:tr>
        <w:tc>
          <w:tcPr>
            <w:tcW w:type="dxa" w:w="1984"/>
          </w:tcPr>
          <w:p>
            <w:r/>
            <w:r>
              <w:rPr>
                <w:sz w:val="20"/>
              </w:rPr>
              <w:t>Chatbot</w:t>
            </w:r>
          </w:p>
        </w:tc>
        <w:tc>
          <w:tcPr>
            <w:tcW w:type="dxa" w:w="2835"/>
          </w:tcPr>
          <w:p>
            <w:r/>
            <w:r>
              <w:rPr>
                <w:sz w:val="20"/>
              </w:rPr>
              <w:t>Azure OpenAI Service + Azure AI Search</w:t>
            </w:r>
          </w:p>
        </w:tc>
        <w:tc>
          <w:tcPr>
            <w:tcW w:type="dxa" w:w="4819"/>
          </w:tcPr>
          <w:p>
            <w:r/>
            <w:r>
              <w:rPr>
                <w:sz w:val="20"/>
              </w:rPr>
              <w:t>Chatbot conversacional (RAG) sobre los resultados de la capa Gold</w:t>
            </w:r>
          </w:p>
        </w:tc>
      </w:tr>
      <w:tr>
        <w:tc>
          <w:tcPr>
            <w:tcW w:type="dxa" w:w="1984"/>
          </w:tcPr>
          <w:p>
            <w:r/>
            <w:r>
              <w:rPr>
                <w:sz w:val="20"/>
              </w:rPr>
              <w:t>Aplicación final</w:t>
            </w:r>
          </w:p>
        </w:tc>
        <w:tc>
          <w:tcPr>
            <w:tcW w:type="dxa" w:w="2835"/>
          </w:tcPr>
          <w:p>
            <w:r/>
            <w:r>
              <w:rPr>
                <w:sz w:val="20"/>
              </w:rPr>
              <w:t>Azure App Service / Azure Static Web Apps</w:t>
            </w:r>
          </w:p>
        </w:tc>
        <w:tc>
          <w:tcPr>
            <w:tcW w:type="dxa" w:w="4819"/>
          </w:tcPr>
          <w:p>
            <w:r/>
            <w:r>
              <w:rPr>
                <w:sz w:val="20"/>
              </w:rPr>
              <w:t>Aplicación web que integra el dashboard embebido y el chatbot para el usuario final</w:t>
            </w:r>
          </w:p>
        </w:tc>
      </w:tr>
      <w:tr>
        <w:tc>
          <w:tcPr>
            <w:tcW w:type="dxa" w:w="1984"/>
          </w:tcPr>
          <w:p>
            <w:r/>
            <w:r>
              <w:rPr>
                <w:sz w:val="20"/>
              </w:rPr>
              <w:t>Identidad y acceso</w:t>
            </w:r>
          </w:p>
        </w:tc>
        <w:tc>
          <w:tcPr>
            <w:tcW w:type="dxa" w:w="2835"/>
          </w:tcPr>
          <w:p>
            <w:r/>
            <w:r>
              <w:rPr>
                <w:sz w:val="20"/>
              </w:rPr>
              <w:t>Microsoft Entra ID</w:t>
            </w:r>
          </w:p>
        </w:tc>
        <w:tc>
          <w:tcPr>
            <w:tcW w:type="dxa" w:w="4819"/>
          </w:tcPr>
          <w:p>
            <w:r/>
            <w:r>
              <w:rPr>
                <w:sz w:val="20"/>
              </w:rPr>
              <w:t>Gestión de identidades, roles y permisos (RBAC) sobre todos los recursos</w:t>
            </w:r>
          </w:p>
        </w:tc>
      </w:tr>
      <w:tr>
        <w:tc>
          <w:tcPr>
            <w:tcW w:type="dxa" w:w="1984"/>
          </w:tcPr>
          <w:p>
            <w:r/>
            <w:r>
              <w:rPr>
                <w:sz w:val="20"/>
              </w:rPr>
              <w:t>Gestión de secretos</w:t>
            </w:r>
          </w:p>
        </w:tc>
        <w:tc>
          <w:tcPr>
            <w:tcW w:type="dxa" w:w="2835"/>
          </w:tcPr>
          <w:p>
            <w:r/>
            <w:r>
              <w:rPr>
                <w:sz w:val="20"/>
              </w:rPr>
              <w:t>Azure Key Vault</w:t>
            </w:r>
          </w:p>
        </w:tc>
        <w:tc>
          <w:tcPr>
            <w:tcW w:type="dxa" w:w="4819"/>
          </w:tcPr>
          <w:p>
            <w:r/>
            <w:r>
              <w:rPr>
                <w:sz w:val="20"/>
              </w:rPr>
              <w:t>Almacenamiento seguro de credenciales y llaves de las APIs externas</w:t>
            </w:r>
          </w:p>
        </w:tc>
      </w:tr>
      <w:tr>
        <w:tc>
          <w:tcPr>
            <w:tcW w:type="dxa" w:w="1984"/>
          </w:tcPr>
          <w:p>
            <w:r/>
            <w:r>
              <w:rPr>
                <w:sz w:val="20"/>
              </w:rPr>
              <w:t>Monitoreo</w:t>
            </w:r>
          </w:p>
        </w:tc>
        <w:tc>
          <w:tcPr>
            <w:tcW w:type="dxa" w:w="2835"/>
          </w:tcPr>
          <w:p>
            <w:r/>
            <w:r>
              <w:rPr>
                <w:sz w:val="20"/>
              </w:rPr>
              <w:t>Azure Monitor + Log Analytics</w:t>
            </w:r>
          </w:p>
        </w:tc>
        <w:tc>
          <w:tcPr>
            <w:tcW w:type="dxa" w:w="4819"/>
          </w:tcPr>
          <w:p>
            <w:r/>
            <w:r>
              <w:rPr>
                <w:sz w:val="20"/>
              </w:rPr>
              <w:t>Observabilidad de pipelines, alertas de fallo y auditoría</w:t>
            </w:r>
          </w:p>
        </w:tc>
      </w:tr>
      <w:tr>
        <w:tc>
          <w:tcPr>
            <w:tcW w:type="dxa" w:w="1984"/>
          </w:tcPr>
          <w:p>
            <w:r/>
            <w:r>
              <w:rPr>
                <w:sz w:val="20"/>
              </w:rPr>
              <w:t>Gestión de costos</w:t>
            </w:r>
          </w:p>
        </w:tc>
        <w:tc>
          <w:tcPr>
            <w:tcW w:type="dxa" w:w="2835"/>
          </w:tcPr>
          <w:p>
            <w:r/>
            <w:r>
              <w:rPr>
                <w:sz w:val="20"/>
              </w:rPr>
              <w:t>Azure Cost Management + Budgets</w:t>
            </w:r>
          </w:p>
        </w:tc>
        <w:tc>
          <w:tcPr>
            <w:tcW w:type="dxa" w:w="4819"/>
          </w:tcPr>
          <w:p>
            <w:r/>
            <w:r>
              <w:rPr>
                <w:sz w:val="20"/>
              </w:rPr>
              <w:t>Alertas de gasto y control del crédito disponible (Azure for Students)</w:t>
            </w:r>
          </w:p>
        </w:tc>
      </w:tr>
      <w:tr>
        <w:tc>
          <w:tcPr>
            <w:tcW w:type="dxa" w:w="1984"/>
          </w:tcPr>
          <w:p>
            <w:r/>
            <w:r>
              <w:rPr>
                <w:sz w:val="20"/>
              </w:rPr>
              <w:t>Infraestructura como código</w:t>
            </w:r>
          </w:p>
        </w:tc>
        <w:tc>
          <w:tcPr>
            <w:tcW w:type="dxa" w:w="2835"/>
          </w:tcPr>
          <w:p>
            <w:r>
              <w:rPr>
                <w:b w:val="0"/>
              </w:rPr>
              <w:t>Terraform</w:t>
            </w:r>
          </w:p>
        </w:tc>
        <w:tc>
          <w:tcPr>
            <w:tcW w:type="dxa" w:w="4819"/>
          </w:tcPr>
          <w:p>
            <w:r/>
            <w:r>
              <w:rPr>
                <w:sz w:val="20"/>
              </w:rPr>
              <w:t>Definición declarativa y reproducible de todos los recursos anteriores</w:t>
            </w:r>
          </w:p>
        </w:tc>
      </w:tr>
      <w:tr>
        <w:tc>
          <w:tcPr>
            <w:tcW w:type="dxa" w:w="1984"/>
          </w:tcPr>
          <w:p>
            <w:r/>
            <w:r>
              <w:rPr>
                <w:sz w:val="20"/>
              </w:rPr>
              <w:t>CI/CD</w:t>
            </w:r>
          </w:p>
        </w:tc>
        <w:tc>
          <w:tcPr>
            <w:tcW w:type="dxa" w:w="2835"/>
          </w:tcPr>
          <w:p>
            <w:r/>
            <w:r>
              <w:rPr>
                <w:sz w:val="20"/>
              </w:rPr>
              <w:t>GitHub Actions (o Azure DevOps)</w:t>
            </w:r>
          </w:p>
        </w:tc>
        <w:tc>
          <w:tcPr>
            <w:tcW w:type="dxa" w:w="4819"/>
          </w:tcPr>
          <w:p>
            <w:r/>
            <w:r>
              <w:rPr>
                <w:sz w:val="20"/>
              </w:rPr>
              <w:t>Automatización del despliegue de infraestructura, notebooks y modelos</w:t>
            </w:r>
          </w:p>
        </w:tc>
      </w:tr>
    </w:tbl>
    <w:p/>
    <w:p>
      <w:r>
        <w:t>Nota sobre costos: Azure ofrece el programa Azure for Students con crédito inicial sin tarjeta de crédito. Dado que Azure Databricks y Azure Synapse cobran por uso, se configura auto-terminación de clústeres y alertas de presupuesto desde el inicio del proyecto para evitar consumir el crédito disponible de forma innecesaria.</w:t>
      </w:r>
    </w:p>
    <w:p>
      <w:pPr>
        <w:pStyle w:val="Heading1"/>
      </w:pPr>
      <w:r>
        <w:t>7. Estrategia de CI/CD y Despliegue</w:t>
      </w:r>
    </w:p>
    <w:p>
      <w:pPr>
        <w:pStyle w:val="Heading2"/>
      </w:pPr>
      <w:r>
        <w:t>7.1 Infraestructura como código</w:t>
      </w:r>
    </w:p>
    <w:p>
      <w:r>
        <w:t>Todos los recursos de Azure (ADF, ADLS Gen2, Databricks, Synapse, Key Vault, Purview) se definen de forma declarativa mediante Terraform, versionados en el repositorio del proyecto. Esto permite reconstruir el entorno completo de forma reproducible y auditable, y mantiene la infraestructura desacoplada de un único proveedor de nube si el proyecto lo requiriera a futuro.</w:t>
      </w:r>
    </w:p>
    <w:p>
      <w:pPr>
        <w:pStyle w:val="Heading2"/>
      </w:pPr>
      <w:r>
        <w:t>7.2 Entornos</w:t>
      </w:r>
    </w:p>
    <w:tbl>
      <w:tblPr>
        <w:tblStyle w:val="TableGrid"/>
        <w:tblW w:type="auto" w:w="0"/>
        <w:jc w:val="center"/>
        <w:tblLook w:firstColumn="1" w:firstRow="1" w:lastColumn="0" w:lastRow="0" w:noHBand="0" w:noVBand="1" w:val="04A0"/>
      </w:tblPr>
      <w:tblGrid>
        <w:gridCol w:w="4320"/>
        <w:gridCol w:w="4320"/>
      </w:tblGrid>
      <w:tr>
        <w:tc>
          <w:tcPr>
            <w:tcW w:type="dxa" w:w="1701"/>
            <w:shd w:val="clear" w:color="auto" w:fill="1F3A5F"/>
          </w:tcPr>
          <w:p>
            <w:r/>
            <w:r>
              <w:rPr>
                <w:b/>
                <w:color w:val="FFFFFF"/>
                <w:sz w:val="20"/>
              </w:rPr>
              <w:t>Entorno</w:t>
            </w:r>
          </w:p>
        </w:tc>
        <w:tc>
          <w:tcPr>
            <w:tcW w:type="dxa" w:w="7937"/>
            <w:shd w:val="clear" w:color="auto" w:fill="1F3A5F"/>
          </w:tcPr>
          <w:p>
            <w:r/>
            <w:r>
              <w:rPr>
                <w:b/>
                <w:color w:val="FFFFFF"/>
                <w:sz w:val="20"/>
              </w:rPr>
              <w:t>Propósito</w:t>
            </w:r>
          </w:p>
        </w:tc>
      </w:tr>
      <w:tr>
        <w:tc>
          <w:tcPr>
            <w:tcW w:type="dxa" w:w="1701"/>
          </w:tcPr>
          <w:p>
            <w:r/>
            <w:r>
              <w:rPr>
                <w:sz w:val="20"/>
              </w:rPr>
              <w:t>Dev</w:t>
            </w:r>
          </w:p>
        </w:tc>
        <w:tc>
          <w:tcPr>
            <w:tcW w:type="dxa" w:w="7937"/>
          </w:tcPr>
          <w:p>
            <w:r/>
            <w:r>
              <w:rPr>
                <w:sz w:val="20"/>
              </w:rPr>
              <w:t>Desarrollo y prueba de notebooks, pipelines y modelos con datos de muestra</w:t>
            </w:r>
          </w:p>
        </w:tc>
      </w:tr>
      <w:tr>
        <w:tc>
          <w:tcPr>
            <w:tcW w:type="dxa" w:w="1701"/>
          </w:tcPr>
          <w:p>
            <w:r/>
            <w:r>
              <w:rPr>
                <w:sz w:val="20"/>
              </w:rPr>
              <w:t>Test / QA</w:t>
            </w:r>
          </w:p>
        </w:tc>
        <w:tc>
          <w:tcPr>
            <w:tcW w:type="dxa" w:w="7937"/>
          </w:tcPr>
          <w:p>
            <w:r/>
            <w:r>
              <w:rPr>
                <w:sz w:val="20"/>
              </w:rPr>
              <w:t>Validación de reglas de calidad de datos y pruebas de integración de pipelines</w:t>
            </w:r>
          </w:p>
        </w:tc>
      </w:tr>
      <w:tr>
        <w:tc>
          <w:tcPr>
            <w:tcW w:type="dxa" w:w="1701"/>
          </w:tcPr>
          <w:p>
            <w:r/>
            <w:r>
              <w:rPr>
                <w:sz w:val="20"/>
              </w:rPr>
              <w:t>Prod</w:t>
            </w:r>
          </w:p>
        </w:tc>
        <w:tc>
          <w:tcPr>
            <w:tcW w:type="dxa" w:w="7937"/>
          </w:tcPr>
          <w:p>
            <w:r/>
            <w:r>
              <w:rPr>
                <w:sz w:val="20"/>
              </w:rPr>
              <w:t>Entorno final expuesto en el dashboard, chatbot y aplicación web</w:t>
            </w:r>
          </w:p>
        </w:tc>
      </w:tr>
    </w:tbl>
    <w:p/>
    <w:p>
      <w:pPr>
        <w:pStyle w:val="Heading2"/>
      </w:pPr>
      <w:r>
        <w:t>7.3 Pipeline de CI/CD</w:t>
      </w:r>
    </w:p>
    <w:p>
      <w:r>
        <w:t>El flujo de integración y despliegue continuo contempla las siguientes etapas:</w:t>
      </w:r>
    </w:p>
    <w:p>
      <w:pPr>
        <w:pStyle w:val="ListBullet"/>
      </w:pPr>
      <w:r>
        <w:t>Build: validación de sintaxis de notebooks y de los módulos Terraform (terraform validate / plan).</w:t>
      </w:r>
    </w:p>
    <w:p>
      <w:pPr>
        <w:pStyle w:val="ListBullet"/>
      </w:pPr>
      <w:r>
        <w:t>Test: ejecución de pruebas de calidad de datos (Great Expectations) sobre un conjunto de datos de referencia.</w:t>
      </w:r>
    </w:p>
    <w:p>
      <w:pPr>
        <w:pStyle w:val="ListBullet"/>
      </w:pPr>
      <w:r>
        <w:t>Deploy de infraestructura: aplicación de los módulos Terraform (terraform apply) al entorno correspondiente.</w:t>
      </w:r>
    </w:p>
    <w:p>
      <w:pPr>
        <w:pStyle w:val="ListBullet"/>
      </w:pPr>
      <w:r>
        <w:t>Deploy de notebooks y pipelines de ADF: publicación automática hacia Databricks y Data Factory.</w:t>
      </w:r>
    </w:p>
    <w:p>
      <w:pPr>
        <w:pStyle w:val="ListBullet"/>
      </w:pPr>
      <w:r>
        <w:t>Registro y promoción de modelos: los modelos entrenados se registran en el Model Registry de Azure Machine Learning (vía MLflow) y se promueven de "staging" a "producción" solo tras superar un umbral mínimo de desempeño definido: F1-score ≥ 0.75 y AUC-ROC ≥ 0.80 en el conjunto de validación, y una mejora de al menos 2 puntos porcentuales de F1 respecto del modelo actualmente en producción (ver metas cuantitativas en la sección 11.1).</w:t>
      </w:r>
    </w:p>
    <w:p>
      <w:pPr>
        <w:pStyle w:val="Heading2"/>
      </w:pPr>
      <w:r>
        <w:t>7.4 Estrategia de ramas (branching)</w:t>
      </w:r>
    </w:p>
    <w:p>
      <w:r>
        <w:t>Se adopta una estrategia simplificada de tipo trunk-based: ramas de trabajo (feature branches) que se integran a la rama principal mediante pull requests, disparando automáticamente el pipeline de CI hacia el entorno de Dev, y de forma manual/aprobada hacia Test y Prod.</w:t>
      </w:r>
    </w:p>
    <w:p>
      <w:pPr>
        <w:pStyle w:val="Heading1"/>
      </w:pPr>
      <w:r>
        <w:t>8. Seguridad</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F3A5F"/>
          </w:tcPr>
          <w:p>
            <w:r/>
            <w:r>
              <w:rPr>
                <w:b/>
                <w:color w:val="FFFFFF"/>
                <w:sz w:val="20"/>
              </w:rPr>
              <w:t>Dimensión</w:t>
            </w:r>
          </w:p>
        </w:tc>
        <w:tc>
          <w:tcPr>
            <w:tcW w:type="dxa" w:w="7370"/>
            <w:shd w:val="clear" w:color="auto" w:fill="1F3A5F"/>
          </w:tcPr>
          <w:p>
            <w:r/>
            <w:r>
              <w:rPr>
                <w:b/>
                <w:color w:val="FFFFFF"/>
                <w:sz w:val="20"/>
              </w:rPr>
              <w:t>Mecanismo implementado</w:t>
            </w:r>
          </w:p>
        </w:tc>
      </w:tr>
      <w:tr>
        <w:tc>
          <w:tcPr>
            <w:tcW w:type="dxa" w:w="2835"/>
          </w:tcPr>
          <w:p>
            <w:r/>
            <w:r>
              <w:rPr>
                <w:sz w:val="20"/>
              </w:rPr>
              <w:t>Identidad y acceso</w:t>
            </w:r>
          </w:p>
        </w:tc>
        <w:tc>
          <w:tcPr>
            <w:tcW w:type="dxa" w:w="7370"/>
          </w:tcPr>
          <w:p>
            <w:r/>
            <w:r>
              <w:rPr>
                <w:sz w:val="20"/>
              </w:rPr>
              <w:t>Microsoft Entra ID con control de acceso basado en roles (RBAC); principio de menor privilegio por recurso</w:t>
            </w:r>
          </w:p>
        </w:tc>
      </w:tr>
      <w:tr>
        <w:tc>
          <w:tcPr>
            <w:tcW w:type="dxa" w:w="2835"/>
          </w:tcPr>
          <w:p>
            <w:r/>
            <w:r>
              <w:rPr>
                <w:sz w:val="20"/>
              </w:rPr>
              <w:t>Gestión de secretos</w:t>
            </w:r>
          </w:p>
        </w:tc>
        <w:tc>
          <w:tcPr>
            <w:tcW w:type="dxa" w:w="7370"/>
          </w:tcPr>
          <w:p>
            <w:r/>
            <w:r>
              <w:rPr>
                <w:sz w:val="20"/>
              </w:rPr>
              <w:t>Azure Key Vault para credenciales de las APIs externas y cadenas de conexión; ningún secreto se almacena en código fuente</w:t>
            </w:r>
          </w:p>
        </w:tc>
      </w:tr>
      <w:tr>
        <w:tc>
          <w:tcPr>
            <w:tcW w:type="dxa" w:w="2835"/>
          </w:tcPr>
          <w:p>
            <w:r/>
            <w:r>
              <w:rPr>
                <w:sz w:val="20"/>
              </w:rPr>
              <w:t>Cifrado en reposo</w:t>
            </w:r>
          </w:p>
        </w:tc>
        <w:tc>
          <w:tcPr>
            <w:tcW w:type="dxa" w:w="7370"/>
          </w:tcPr>
          <w:p>
            <w:r/>
            <w:r>
              <w:rPr>
                <w:sz w:val="20"/>
              </w:rPr>
              <w:t>Cifrado nativo de Azure Data Lake Storage Gen2 (AES-256)</w:t>
            </w:r>
          </w:p>
        </w:tc>
      </w:tr>
      <w:tr>
        <w:tc>
          <w:tcPr>
            <w:tcW w:type="dxa" w:w="2835"/>
          </w:tcPr>
          <w:p>
            <w:r/>
            <w:r>
              <w:rPr>
                <w:sz w:val="20"/>
              </w:rPr>
              <w:t>Cifrado en tránsito</w:t>
            </w:r>
          </w:p>
        </w:tc>
        <w:tc>
          <w:tcPr>
            <w:tcW w:type="dxa" w:w="7370"/>
          </w:tcPr>
          <w:p>
            <w:r/>
            <w:r>
              <w:rPr>
                <w:sz w:val="20"/>
              </w:rPr>
              <w:t>TLS en todas las comunicaciones entre servicios y hacia las APIs externas</w:t>
            </w:r>
          </w:p>
        </w:tc>
      </w:tr>
      <w:tr>
        <w:tc>
          <w:tcPr>
            <w:tcW w:type="dxa" w:w="2835"/>
          </w:tcPr>
          <w:p>
            <w:r/>
            <w:r>
              <w:rPr>
                <w:sz w:val="20"/>
              </w:rPr>
              <w:t>Auditoría y monitoreo</w:t>
            </w:r>
          </w:p>
        </w:tc>
        <w:tc>
          <w:tcPr>
            <w:tcW w:type="dxa" w:w="7370"/>
          </w:tcPr>
          <w:p>
            <w:r/>
            <w:r>
              <w:rPr>
                <w:sz w:val="20"/>
              </w:rPr>
              <w:t>Azure Monitor y Log Analytics para el registro de ejecuciones de pipelines, accesos y alertas de fallo</w:t>
            </w:r>
          </w:p>
        </w:tc>
      </w:tr>
      <w:tr>
        <w:tc>
          <w:tcPr>
            <w:tcW w:type="dxa" w:w="2835"/>
          </w:tcPr>
          <w:p>
            <w:r/>
            <w:r>
              <w:rPr>
                <w:sz w:val="20"/>
              </w:rPr>
              <w:t>Gestión de costos como control</w:t>
            </w:r>
          </w:p>
        </w:tc>
        <w:tc>
          <w:tcPr>
            <w:tcW w:type="dxa" w:w="7370"/>
          </w:tcPr>
          <w:p>
            <w:r/>
            <w:r>
              <w:rPr>
                <w:sz w:val="20"/>
              </w:rPr>
              <w:t>Azure Cost Management + Budgets para prevenir consumo excesivo de recursos por errores de configuración</w:t>
            </w:r>
          </w:p>
        </w:tc>
      </w:tr>
      <w:tr>
        <w:tc>
          <w:tcPr>
            <w:tcW w:type="dxa" w:w="2835"/>
          </w:tcPr>
          <w:p>
            <w:r/>
            <w:r>
              <w:rPr>
                <w:sz w:val="20"/>
              </w:rPr>
              <w:t>Cumplimiento de licenciamiento</w:t>
            </w:r>
          </w:p>
        </w:tc>
        <w:tc>
          <w:tcPr>
            <w:tcW w:type="dxa" w:w="7370"/>
          </w:tcPr>
          <w:p>
            <w:r/>
            <w:r>
              <w:rPr>
                <w:sz w:val="20"/>
              </w:rPr>
              <w:t>Respeto de las condiciones de uso y atribución de cada fuente: datos abiertos del Estado peruano (INDECI), dominio público (USGS), atribución requerida (NASA FIRMS, Open-Meteo)</w:t>
            </w:r>
          </w:p>
        </w:tc>
      </w:tr>
      <w:tr>
        <w:tc>
          <w:tcPr>
            <w:tcW w:type="dxa" w:w="2835"/>
          </w:tcPr>
          <w:p>
            <w:r/>
            <w:r>
              <w:rPr>
                <w:sz w:val="20"/>
              </w:rPr>
              <w:t>Privacidad</w:t>
            </w:r>
          </w:p>
        </w:tc>
        <w:tc>
          <w:tcPr>
            <w:tcW w:type="dxa" w:w="7370"/>
          </w:tcPr>
          <w:p>
            <w:r/>
            <w:r>
              <w:rPr>
                <w:sz w:val="20"/>
              </w:rPr>
              <w:t>No se procesan datos personales (PII); toda la información se maneja agregada a nivel de región y fecha</w:t>
            </w:r>
          </w:p>
        </w:tc>
      </w:tr>
    </w:tbl>
    <w:p/>
    <w:p>
      <w:pPr>
        <w:pStyle w:val="Heading1"/>
      </w:pPr>
      <w:r>
        <w:t>9. Componente Analítico Descriptivo (Business Intelligence)</w:t>
      </w:r>
    </w:p>
    <w:p>
      <w:r>
        <w:t>El componente descriptivo se implementa sobre Power BI, consumiendo directamente el modelo estrella de la capa Gold a través de Azure Synapse Serverless SQL Pool. Para servir a audiencias y decisiones distintas dentro de CENEPRED, el sistema define cinco dashboards independientes, cada uno con un propósito analítico específico:</w:t>
      </w:r>
    </w:p>
    <w:p>
      <w:pPr>
        <w:pStyle w:val="Heading2"/>
      </w:pPr>
      <w:r>
        <w:t>9.1 Dashboard de Monitoreo Diario</w:t>
      </w:r>
    </w:p>
    <w:p>
      <w:pPr/>
      <w:r>
        <w:t>Panel operativo de actualización diaria, dirigido a los técnicos de CENEPRED/SINAGERD para la vigilancia de corto plazo. Incluye: tarjetas KPI con los valores del día (temperatura, precipitación acumulada 24h, número de sismos y focos de calor activos); un gráfico de líneas de temperatura y precipitación de los últimos 14 días por región; un mapa del Perú coloreado por intensidad de focos de calor y actividad sísmica reciente; y un gráfico de barras con la magnitud sísmica máxima por región en los últimos 7 días. Todo desagregado por región sobre FACT_MONITOREO_DIARIO, dando visibilidad inmediata de condiciones que podrían anticipar una emergencia antes de que esta sea registrada oficialmente por INDECI.</w:t>
      </w:r>
    </w:p>
    <w:p>
      <w:pPr>
        <w:pStyle w:val="Heading2"/>
      </w:pPr>
      <w:r>
        <w:t>9.2 Dashboard Histórico y Tendencias de Emergencias</w:t>
      </w:r>
    </w:p>
    <w:p>
      <w:pPr/>
      <w:r>
        <w:t>Panel analítico multianual sobre FACT_EMERGENCIAS. Incluye: un gráfico de líneas o áreas con la serie de tiempo de emergencias por región y año; un gráfico de columnas apiladas por tipo de fenómeno y año; tarjetas KPI de acumulado del año (YTD) frente al mismo periodo del año anterior, con indicador de variación (flecha e icono de semáforo); y un gráfico de barras de estacionalidad por temporada (DIM_TIEMPO), construido con medidas DAX de inteligencia de tiempo. Permite identificar si una región se aleja de su comportamiento histórico esperado.</w:t>
      </w:r>
    </w:p>
    <w:p>
      <w:pPr>
        <w:pStyle w:val="Heading2"/>
      </w:pPr>
      <w:r>
        <w:t>9.3 Dashboard de Riesgo Dinámico y Explicabilidad (Predictivo)</w:t>
      </w:r>
    </w:p>
    <w:p>
      <w:pPr/>
      <w:r>
        <w:t>Consume FACT_PREDICCIONES y el campo cluster_riesgo de DIM_REGION. Incluye: un mapa coroplético del Perú coloreado por probabilidad de riesgo y segmento de cluster_riesgo (K-Means); un medidor (gauge) con la probabilidad de riesgo de la región seleccionada frente al umbral de alerta; un gráfico de barras horizontales tipo tornado con los valores SHAP (variables que más explican cada predicción, por ejemplo precipitación acumulada de 15 días); y tarjetas KPI con el nivel de riesgo (alto/medio/bajo) en formato semáforo. Esto hace que el resultado del modelo (Random Forest/XGBoost) sea interpretable y accionable para un usuario no técnico.</w:t>
      </w:r>
    </w:p>
    <w:p>
      <w:pPr>
        <w:pStyle w:val="Heading2"/>
      </w:pPr>
      <w:r>
        <w:t>9.4 Dashboard Comparativo Regional (Ranking y Heatmap)</w:t>
      </w:r>
    </w:p>
    <w:p>
      <w:pPr/>
      <w:r>
        <w:t>Diseñado para apoyar la priorización de recursos de prevención entre regiones. Incluye: un heatmap matricial región × mes del nivel de riesgo y ocurrencia de emergencias, con formato condicional de color; un gráfico de barras horizontales con el ranking de regiones más y menos afectadas por tipo de fenómeno; un gráfico de anillos (donut) con la distribución de emergencias por tipo de fenómeno (DIM_FENOMENO); y segmentadores (slicers) de región, fenómeno y periodo. Responde directamente a la pregunta operativa de CENEPRED: qué regiones deberían recibir atención prioritaria este mes, y por qué fenómeno.</w:t>
      </w:r>
    </w:p>
    <w:p>
      <w:pPr>
        <w:pStyle w:val="Heading2"/>
      </w:pPr>
      <w:r>
        <w:t>9.5 Dashboard de Impacto Socioeconómico de Emergencias</w:t>
      </w:r>
    </w:p>
    <w:p>
      <w:pPr/>
      <w:r>
        <w:t>Panel descriptivo enfocado en el impacto humano y material de las emergencias ya ocurridas, usando los campos cantidad_afectados, viviendas_afectadas y severidad de FACT_EMERGENCIAS. Incluye: tarjetas KPI con el total de personas afectadas y viviendas afectadas en el año en curso; un gráfico de barras apiladas de afectados y viviendas afectadas por región y año; un mapa del Perú coloreado por el acumulado de viviendas afectadas por región; un gráfico de dispersión de severidad frente a cantidad de afectados por tipo de fenómeno, para identificar fenómenos poco frecuentes pero de alto impacto; y un ranking en barras horizontales de las regiones con mayor severidad promedio. A diferencia del dashboard 9.2 (frecuencia y tendencia de emergencias), este se enfoca en la magnitud del daño, información clave para que CENEPRED priorice recursos no solo por cuántas emergencias ocurren, sino por cuánto afectan a la población.</w:t>
      </w:r>
    </w:p>
    <w:p>
      <w:r>
        <w:t>Dado que este documento describe el diseño del sistema, los valores concretos de estos indicadores se generarán durante la fase de implementación con datos reales; esta sección define la estructura y el propósito analítico de cada uno de los cinco dashboards esperados.</w:t>
      </w:r>
    </w:p>
    <w:p>
      <w:pPr>
        <w:pStyle w:val="Heading1"/>
      </w:pPr>
      <w:r>
        <w:t>10. Componente Analítico Predictivo (Machine Learning)</w:t>
      </w:r>
    </w:p>
    <w:p>
      <w:pPr>
        <w:pStyle w:val="Heading2"/>
      </w:pPr>
      <w:r>
        <w:t>10.1 Aprendizaje supervisado</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color="auto" w:fill="1F3A5F"/>
          </w:tcPr>
          <w:p>
            <w:r/>
            <w:r>
              <w:rPr>
                <w:b/>
                <w:color w:val="FFFFFF"/>
                <w:sz w:val="20"/>
              </w:rPr>
              <w:t>Tarea</w:t>
            </w:r>
          </w:p>
        </w:tc>
        <w:tc>
          <w:tcPr>
            <w:tcW w:type="dxa" w:w="2551"/>
            <w:shd w:val="clear" w:color="auto" w:fill="1F3A5F"/>
          </w:tcPr>
          <w:p>
            <w:r/>
            <w:r>
              <w:rPr>
                <w:b/>
                <w:color w:val="FFFFFF"/>
                <w:sz w:val="20"/>
              </w:rPr>
              <w:t>Modelo(s)</w:t>
            </w:r>
          </w:p>
        </w:tc>
        <w:tc>
          <w:tcPr>
            <w:tcW w:type="dxa" w:w="5102"/>
            <w:shd w:val="clear" w:color="auto" w:fill="1F3A5F"/>
          </w:tcPr>
          <w:p>
            <w:r/>
            <w:r>
              <w:rPr>
                <w:b/>
                <w:color w:val="FFFFFF"/>
                <w:sz w:val="20"/>
              </w:rPr>
              <w:t>Propósito</w:t>
            </w:r>
          </w:p>
        </w:tc>
      </w:tr>
      <w:tr>
        <w:tc>
          <w:tcPr>
            <w:tcW w:type="dxa" w:w="2551"/>
          </w:tcPr>
          <w:p>
            <w:r/>
            <w:r>
              <w:rPr>
                <w:sz w:val="20"/>
              </w:rPr>
              <w:t>Clasificación de riesgo (baseline)</w:t>
            </w:r>
          </w:p>
        </w:tc>
        <w:tc>
          <w:tcPr>
            <w:tcW w:type="dxa" w:w="2551"/>
          </w:tcPr>
          <w:p>
            <w:r/>
            <w:r>
              <w:rPr>
                <w:sz w:val="20"/>
              </w:rPr>
              <w:t>Regresión Logística</w:t>
            </w:r>
          </w:p>
        </w:tc>
        <w:tc>
          <w:tcPr>
            <w:tcW w:type="dxa" w:w="5102"/>
          </w:tcPr>
          <w:p>
            <w:r/>
            <w:r>
              <w:rPr>
                <w:sz w:val="20"/>
              </w:rPr>
              <w:t>Modelo base interpretable para comparar el desempeño de los modelos más complejos</w:t>
            </w:r>
          </w:p>
        </w:tc>
      </w:tr>
      <w:tr>
        <w:tc>
          <w:tcPr>
            <w:tcW w:type="dxa" w:w="2551"/>
          </w:tcPr>
          <w:p>
            <w:r/>
            <w:r>
              <w:rPr>
                <w:sz w:val="20"/>
              </w:rPr>
              <w:t>Clasificación de riesgo (principal)</w:t>
            </w:r>
          </w:p>
        </w:tc>
        <w:tc>
          <w:tcPr>
            <w:tcW w:type="dxa" w:w="2551"/>
          </w:tcPr>
          <w:p>
            <w:r/>
            <w:r>
              <w:rPr>
                <w:sz w:val="20"/>
              </w:rPr>
              <w:t>Random Forest / XGBoost</w:t>
            </w:r>
          </w:p>
        </w:tc>
        <w:tc>
          <w:tcPr>
            <w:tcW w:type="dxa" w:w="5102"/>
          </w:tcPr>
          <w:p>
            <w:r/>
            <w:r>
              <w:rPr>
                <w:sz w:val="20"/>
              </w:rPr>
              <w:t>Predecir si una región presentará una emergencia en el periodo siguiente, usando como features el monitoreo climático, sísmico y de focos de calor</w:t>
            </w:r>
          </w:p>
        </w:tc>
      </w:tr>
      <w:tr>
        <w:tc>
          <w:tcPr>
            <w:tcW w:type="dxa" w:w="2551"/>
          </w:tcPr>
          <w:p>
            <w:r/>
            <w:r>
              <w:rPr>
                <w:sz w:val="20"/>
              </w:rPr>
              <w:t>Forecasting de eventos</w:t>
            </w:r>
          </w:p>
        </w:tc>
        <w:tc>
          <w:tcPr>
            <w:tcW w:type="dxa" w:w="2551"/>
          </w:tcPr>
          <w:p>
            <w:r/>
            <w:r>
              <w:rPr>
                <w:sz w:val="20"/>
              </w:rPr>
              <w:t>Prophet / SARIMA</w:t>
            </w:r>
          </w:p>
        </w:tc>
        <w:tc>
          <w:tcPr>
            <w:tcW w:type="dxa" w:w="5102"/>
          </w:tcPr>
          <w:p>
            <w:r/>
            <w:r>
              <w:rPr>
                <w:sz w:val="20"/>
              </w:rPr>
              <w:t>Estimar la cantidad esperada de emergencias por región en el siguiente trimestre</w:t>
            </w:r>
          </w:p>
        </w:tc>
      </w:tr>
      <w:tr>
        <w:tc>
          <w:tcPr>
            <w:tcW w:type="dxa" w:w="2551"/>
          </w:tcPr>
          <w:p>
            <w:r/>
            <w:r>
              <w:rPr>
                <w:sz w:val="20"/>
              </w:rPr>
              <w:t>Comparación con Deep Learning</w:t>
            </w:r>
          </w:p>
        </w:tc>
        <w:tc>
          <w:tcPr>
            <w:tcW w:type="dxa" w:w="2551"/>
          </w:tcPr>
          <w:p>
            <w:r/>
            <w:r>
              <w:rPr>
                <w:sz w:val="20"/>
              </w:rPr>
              <w:t>LSTM</w:t>
            </w:r>
          </w:p>
        </w:tc>
        <w:tc>
          <w:tcPr>
            <w:tcW w:type="dxa" w:w="5102"/>
          </w:tcPr>
          <w:p>
            <w:r/>
            <w:r>
              <w:rPr>
                <w:sz w:val="20"/>
              </w:rPr>
              <w:t>Modelo de comparación para cumplir el componente de Deep Learning, evaluado bajo las mismas métricas que los modelos clásicos</w:t>
            </w:r>
          </w:p>
        </w:tc>
      </w:tr>
    </w:tbl>
    <w:p/>
    <w:p>
      <w:r>
        <w:t>Métricas de evaluación previstas: F1-score, precisión, recall y AUC-ROC para los modelos de clasificación; RMSE y MAE para los modelos de forecasting. Se documentará explícitamente si XGBoost iguala o supera a la LSTM, dado que en conjuntos de datos tabulares de tamaño moderado esto es un resultado esperado y reportable en la literatura, no una falla del proyecto.</w:t>
      </w:r>
    </w:p>
    <w:p>
      <w:pPr>
        <w:pStyle w:val="Heading2"/>
      </w:pPr>
      <w:r>
        <w:t>10.2 Aprendizaje no supervisado</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color="auto" w:fill="1F3A5F"/>
          </w:tcPr>
          <w:p>
            <w:r/>
            <w:r>
              <w:rPr>
                <w:b/>
                <w:color w:val="FFFFFF"/>
                <w:sz w:val="20"/>
              </w:rPr>
              <w:t>Técnica</w:t>
            </w:r>
          </w:p>
        </w:tc>
        <w:tc>
          <w:tcPr>
            <w:tcW w:type="dxa" w:w="2268"/>
            <w:shd w:val="clear" w:color="auto" w:fill="1F3A5F"/>
          </w:tcPr>
          <w:p>
            <w:r/>
            <w:r>
              <w:rPr>
                <w:b/>
                <w:color w:val="FFFFFF"/>
                <w:sz w:val="20"/>
              </w:rPr>
              <w:t>Modelo</w:t>
            </w:r>
          </w:p>
        </w:tc>
        <w:tc>
          <w:tcPr>
            <w:tcW w:type="dxa" w:w="5386"/>
            <w:shd w:val="clear" w:color="auto" w:fill="1F3A5F"/>
          </w:tcPr>
          <w:p>
            <w:r/>
            <w:r>
              <w:rPr>
                <w:b/>
                <w:color w:val="FFFFFF"/>
                <w:sz w:val="20"/>
              </w:rPr>
              <w:t>Propósito</w:t>
            </w:r>
          </w:p>
        </w:tc>
      </w:tr>
      <w:tr>
        <w:tc>
          <w:tcPr>
            <w:tcW w:type="dxa" w:w="2551"/>
          </w:tcPr>
          <w:p>
            <w:r/>
            <w:r>
              <w:rPr>
                <w:sz w:val="20"/>
              </w:rPr>
              <w:t>Segmentación de regiones</w:t>
            </w:r>
          </w:p>
        </w:tc>
        <w:tc>
          <w:tcPr>
            <w:tcW w:type="dxa" w:w="2268"/>
          </w:tcPr>
          <w:p>
            <w:r/>
            <w:r>
              <w:rPr>
                <w:sz w:val="20"/>
              </w:rPr>
              <w:t>K-Means</w:t>
            </w:r>
          </w:p>
        </w:tc>
        <w:tc>
          <w:tcPr>
            <w:tcW w:type="dxa" w:w="5386"/>
          </w:tcPr>
          <w:p>
            <w:r/>
            <w:r>
              <w:rPr>
                <w:sz w:val="20"/>
              </w:rPr>
              <w:t>Agrupar regiones con perfiles de riesgo multi-amenaza similares (clima + sismos + incendios), asignado al campo cluster_riesgo de DIM_REGION</w:t>
            </w:r>
          </w:p>
        </w:tc>
      </w:tr>
      <w:tr>
        <w:tc>
          <w:tcPr>
            <w:tcW w:type="dxa" w:w="2551"/>
          </w:tcPr>
          <w:p>
            <w:r/>
            <w:r>
              <w:rPr>
                <w:sz w:val="20"/>
              </w:rPr>
              <w:t>Detección de anomalías</w:t>
            </w:r>
          </w:p>
        </w:tc>
        <w:tc>
          <w:tcPr>
            <w:tcW w:type="dxa" w:w="2268"/>
          </w:tcPr>
          <w:p>
            <w:r/>
            <w:r>
              <w:rPr>
                <w:sz w:val="20"/>
              </w:rPr>
              <w:t>Isolation Forest</w:t>
            </w:r>
          </w:p>
        </w:tc>
        <w:tc>
          <w:tcPr>
            <w:tcW w:type="dxa" w:w="5386"/>
          </w:tcPr>
          <w:p>
            <w:r/>
            <w:r>
              <w:rPr>
                <w:sz w:val="20"/>
              </w:rPr>
              <w:t>Identificar días atípicos en FACT_MONITOREO_DIARIO que se aparten del comportamiento histórico de una región, como señal de alerta temprana independiente del label oficial de INDECI</w:t>
            </w:r>
          </w:p>
        </w:tc>
      </w:tr>
    </w:tbl>
    <w:p/>
    <w:p>
      <w:r>
        <w:t>Métrica de evaluación prevista para el clustering: coeficiente de silueta (silhouette score), para validar la cohesión y separación de los segmentos obtenidos.</w:t>
      </w:r>
    </w:p>
    <w:p>
      <w:pPr>
        <w:pStyle w:val="Heading2"/>
      </w:pPr>
      <w:r>
        <w:t>10.3 Explicabilidad del modelo</w:t>
      </w:r>
    </w:p>
    <w:p>
      <w:r>
        <w:t>Se incorporan valores SHAP sobre el modelo de clasificación principal para explicar, por región y por predicción individual, qué variables explican en mayor medida el nivel de riesgo estimado (por ejemplo, precipitación acumulada de los últimos 15 días). Esto permite que el resultado del modelo sea interpretable para un usuario no técnico, y no una "caja negra".</w:t>
      </w:r>
    </w:p>
    <w:p>
      <w:pPr>
        <w:pStyle w:val="Heading2"/>
      </w:pPr>
      <w:r>
        <w:t>10.4 Chatbot y aplicación final</w:t>
      </w:r>
    </w:p>
    <w:p>
      <w:r>
        <w:t>El chatbot se implementa mediante Azure OpenAI Service en combinación con Azure AI Search, bajo un patrón de generación aumentada por recuperación (RAG) sobre los resultados agregados de la capa Gold. Esto permite a un usuario final formular preguntas en lenguaje natural (por ejemplo, "¿qué regiones están en riesgo alto esta semana y por qué?") y recibir una respuesta que combine el resultado del modelo predictivo con su explicación SHAP asociada. El chatbot y los cinco dashboards se integran en una aplicación web final desplegada en Azure App Service o Azure Static Web Apps, consumiendo el mismo modelo de datos de la capa Gold.</w:t>
      </w:r>
    </w:p>
    <w:p>
      <w:pPr>
        <w:pStyle w:val="Heading1"/>
      </w:pPr>
      <w:r>
        <w:t>11. Resultados Esperados e Impacto</w:t>
      </w:r>
    </w:p>
    <w:p>
      <w:r>
        <w:t>Este documento constituye el diseño y la propuesta de implementación del sistema; los resultados cuantitativos (métricas finales de los modelos, valores de los indicadores del dashboard) se obtendrán durante la fase de implementación con datos reales y deberán documentarse en un anexo posterior de resultados. A nivel de impacto esperado, el sistema busca:</w:t>
      </w:r>
    </w:p>
    <w:p>
      <w:pPr>
        <w:pStyle w:val="ListBullet"/>
      </w:pPr>
      <w:r>
        <w:t>Reducir el tiempo de detección de un riesgo creciente de emergencia por región, comparado con la ausencia actual de una herramienta de riesgo dinámico.</w:t>
      </w:r>
    </w:p>
    <w:p>
      <w:pPr>
        <w:pStyle w:val="ListBullet"/>
      </w:pPr>
      <w:r>
        <w:t>Proveer una base cuantitativa y explicable (no solo intuitiva) para la priorización de recursos de prevención por parte de CENEPRED y, en general, de las entidades del SINAGERD.</w:t>
      </w:r>
    </w:p>
    <w:p>
      <w:pPr>
        <w:pStyle w:val="ListBullet"/>
      </w:pPr>
      <w:r>
        <w:t>Demostrar de forma empírica si los modelos de Deep Learning aportan una mejora real frente a modelos clásicos en este tipo de datos, como aporte metodológico del proyecto.</w:t>
      </w:r>
    </w:p>
    <w:p>
      <w:pPr>
        <w:pStyle w:val="Heading2"/>
      </w:pPr>
      <w:r>
        <w:t>11.1 Metas cuantitativas y KPIs</w:t>
      </w:r>
    </w:p>
    <w:p>
      <w:pPr/>
      <w:r>
        <w:t>Para operacionalizar los objetivos descritos y evitar que el desempeño del sistema quede sujeto solo a una evaluación cualitativa, se definen las siguientes metas cuantitativas. Estos valores son metas de diseño a validar durante la fase de implementación con datos reales, no resultados ya obtenidos.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Ámbito</w:t>
            </w:r>
          </w:p>
        </w:tc>
        <w:tc>
          <w:tcPr>
            <w:tcW w:type="dxa" w:w="2160"/>
          </w:tcPr>
          <w:p>
            <w:r>
              <w:rPr>
                <w:b/>
              </w:rPr>
              <w:t>Indicador / métrica</w:t>
            </w:r>
          </w:p>
        </w:tc>
        <w:tc>
          <w:tcPr>
            <w:tcW w:type="dxa" w:w="2160"/>
          </w:tcPr>
          <w:p>
            <w:r>
              <w:rPr>
                <w:b/>
              </w:rPr>
              <w:t>Meta</w:t>
            </w:r>
          </w:p>
        </w:tc>
        <w:tc>
          <w:tcPr>
            <w:tcW w:type="dxa" w:w="2160"/>
          </w:tcPr>
          <w:p>
            <w:r>
              <w:rPr>
                <w:b/>
              </w:rPr>
              <w:t>Justificación</w:t>
            </w:r>
          </w:p>
        </w:tc>
      </w:tr>
      <w:tr>
        <w:tc>
          <w:tcPr>
            <w:tcW w:type="dxa" w:w="2160"/>
          </w:tcPr>
          <w:p>
            <w:r>
              <w:t>Clasificación de riesgo (modelo principal)</w:t>
            </w:r>
          </w:p>
        </w:tc>
        <w:tc>
          <w:tcPr>
            <w:tcW w:type="dxa" w:w="2160"/>
          </w:tcPr>
          <w:p>
            <w:r>
              <w:t>F1-score</w:t>
            </w:r>
          </w:p>
        </w:tc>
        <w:tc>
          <w:tcPr>
            <w:tcW w:type="dxa" w:w="2160"/>
          </w:tcPr>
          <w:p>
            <w:r>
              <w:t>≥ 0.75</w:t>
            </w:r>
          </w:p>
        </w:tc>
        <w:tc>
          <w:tcPr>
            <w:tcW w:type="dxa" w:w="2160"/>
          </w:tcPr>
          <w:p>
            <w:r>
              <w:t>Balance entre falsos positivos y negativos en una alerta temprana</w:t>
            </w:r>
          </w:p>
        </w:tc>
      </w:tr>
      <w:tr>
        <w:tc>
          <w:tcPr>
            <w:tcW w:type="dxa" w:w="2160"/>
          </w:tcPr>
          <w:p>
            <w:r>
              <w:t>Clasificación de riesgo (modelo principal)</w:t>
            </w:r>
          </w:p>
        </w:tc>
        <w:tc>
          <w:tcPr>
            <w:tcW w:type="dxa" w:w="2160"/>
          </w:tcPr>
          <w:p>
            <w:r>
              <w:t>AUC-ROC</w:t>
            </w:r>
          </w:p>
        </w:tc>
        <w:tc>
          <w:tcPr>
            <w:tcW w:type="dxa" w:w="2160"/>
          </w:tcPr>
          <w:p>
            <w:r>
              <w:t>≥ 0.80</w:t>
            </w:r>
          </w:p>
        </w:tc>
        <w:tc>
          <w:tcPr>
            <w:tcW w:type="dxa" w:w="2160"/>
          </w:tcPr>
          <w:p>
            <w:r>
              <w:t>Capacidad discriminativa aceptable para uso institucional</w:t>
            </w:r>
          </w:p>
        </w:tc>
      </w:tr>
      <w:tr>
        <w:tc>
          <w:tcPr>
            <w:tcW w:type="dxa" w:w="2160"/>
          </w:tcPr>
          <w:p>
            <w:r>
              <w:t>Clasificación de riesgo (modelo principal)</w:t>
            </w:r>
          </w:p>
        </w:tc>
        <w:tc>
          <w:tcPr>
            <w:tcW w:type="dxa" w:w="2160"/>
          </w:tcPr>
          <w:p>
            <w:r>
              <w:t>Recall (clase "emergencia")</w:t>
            </w:r>
          </w:p>
        </w:tc>
        <w:tc>
          <w:tcPr>
            <w:tcW w:type="dxa" w:w="2160"/>
          </w:tcPr>
          <w:p>
            <w:r>
              <w:t>≥ 0.70</w:t>
            </w:r>
          </w:p>
        </w:tc>
        <w:tc>
          <w:tcPr>
            <w:tcW w:type="dxa" w:w="2160"/>
          </w:tcPr>
          <w:p>
            <w:r>
              <w:t>Prioriza detectar emergencias reales: el costo de un falso negativo es mayor que el de una falsa alarma</w:t>
            </w:r>
          </w:p>
        </w:tc>
      </w:tr>
      <w:tr>
        <w:tc>
          <w:tcPr>
            <w:tcW w:type="dxa" w:w="2160"/>
          </w:tcPr>
          <w:p>
            <w:r>
              <w:t>Comparación con baseline</w:t>
            </w:r>
          </w:p>
        </w:tc>
        <w:tc>
          <w:tcPr>
            <w:tcW w:type="dxa" w:w="2160"/>
          </w:tcPr>
          <w:p>
            <w:r>
              <w:t>Mejora de F1 sobre Regresión Logística</w:t>
            </w:r>
          </w:p>
        </w:tc>
        <w:tc>
          <w:tcPr>
            <w:tcW w:type="dxa" w:w="2160"/>
          </w:tcPr>
          <w:p>
            <w:r>
              <w:t>≥ +10 puntos porcentuales</w:t>
            </w:r>
          </w:p>
        </w:tc>
        <w:tc>
          <w:tcPr>
            <w:tcW w:type="dxa" w:w="2160"/>
          </w:tcPr>
          <w:p>
            <w:r>
              <w:t>Justifica usar un modelo más complejo (Random Forest/XGBoost) frente al baseline interpretable</w:t>
            </w:r>
          </w:p>
        </w:tc>
      </w:tr>
      <w:tr>
        <w:tc>
          <w:tcPr>
            <w:tcW w:type="dxa" w:w="2160"/>
          </w:tcPr>
          <w:p>
            <w:r>
              <w:t>Forecasting de eventos</w:t>
            </w:r>
          </w:p>
        </w:tc>
        <w:tc>
          <w:tcPr>
            <w:tcW w:type="dxa" w:w="2160"/>
          </w:tcPr>
          <w:p>
            <w:r>
              <w:t>Reducción de MAE frente a un baseline estacional ingenuo</w:t>
            </w:r>
          </w:p>
        </w:tc>
        <w:tc>
          <w:tcPr>
            <w:tcW w:type="dxa" w:w="2160"/>
          </w:tcPr>
          <w:p>
            <w:r>
              <w:t>≥ 15%</w:t>
            </w:r>
          </w:p>
        </w:tc>
        <w:tc>
          <w:tcPr>
            <w:tcW w:type="dxa" w:w="2160"/>
          </w:tcPr>
          <w:p>
            <w:r>
              <w:t>Confirma que Prophet/SARIMA aporta valor sobre un pronóstico trivial</w:t>
            </w:r>
          </w:p>
        </w:tc>
      </w:tr>
      <w:tr>
        <w:tc>
          <w:tcPr>
            <w:tcW w:type="dxa" w:w="2160"/>
          </w:tcPr>
          <w:p>
            <w:r>
              <w:t>Segmentación de regiones</w:t>
            </w:r>
          </w:p>
        </w:tc>
        <w:tc>
          <w:tcPr>
            <w:tcW w:type="dxa" w:w="2160"/>
          </w:tcPr>
          <w:p>
            <w:r>
              <w:t>Silhouette score (K-Means)</w:t>
            </w:r>
          </w:p>
        </w:tc>
        <w:tc>
          <w:tcPr>
            <w:tcW w:type="dxa" w:w="2160"/>
          </w:tcPr>
          <w:p>
            <w:r>
              <w:t>≥ 0.50</w:t>
            </w:r>
          </w:p>
        </w:tc>
        <w:tc>
          <w:tcPr>
            <w:tcW w:type="dxa" w:w="2160"/>
          </w:tcPr>
          <w:p>
            <w:r>
              <w:t>Umbral aceptado en la literatura para una estructura de clusters razonable</w:t>
            </w:r>
          </w:p>
        </w:tc>
      </w:tr>
      <w:tr>
        <w:tc>
          <w:tcPr>
            <w:tcW w:type="dxa" w:w="2160"/>
          </w:tcPr>
          <w:p>
            <w:r>
              <w:t>Detección de anomalías</w:t>
            </w:r>
          </w:p>
        </w:tc>
        <w:tc>
          <w:tcPr>
            <w:tcW w:type="dxa" w:w="2160"/>
          </w:tcPr>
          <w:p>
            <w:r>
              <w:t>Cobertura de anomalías (Isolation Forest) sobre emergencias reales de INDECI</w:t>
            </w:r>
          </w:p>
        </w:tc>
        <w:tc>
          <w:tcPr>
            <w:tcW w:type="dxa" w:w="2160"/>
          </w:tcPr>
          <w:p>
            <w:r>
              <w:t>≥ 60%</w:t>
            </w:r>
          </w:p>
        </w:tc>
        <w:tc>
          <w:tcPr>
            <w:tcW w:type="dxa" w:w="2160"/>
          </w:tcPr>
          <w:p>
            <w:r>
              <w:t>Valida que el modelo capture señales relevantes y no solo ruido estadístico</w:t>
            </w:r>
          </w:p>
        </w:tc>
      </w:tr>
      <w:tr>
        <w:tc>
          <w:tcPr>
            <w:tcW w:type="dxa" w:w="2160"/>
          </w:tcPr>
          <w:p>
            <w:r>
              <w:t>Calidad de datos (Silver)</w:t>
            </w:r>
          </w:p>
        </w:tc>
        <w:tc>
          <w:tcPr>
            <w:tcW w:type="dxa" w:w="2160"/>
          </w:tcPr>
          <w:p>
            <w:r>
              <w:t>Completitud de campos clave (fecha, región)</w:t>
            </w:r>
          </w:p>
        </w:tc>
        <w:tc>
          <w:tcPr>
            <w:tcW w:type="dxa" w:w="2160"/>
          </w:tcPr>
          <w:p>
            <w:r>
              <w:t>≥ 98%</w:t>
            </w:r>
          </w:p>
        </w:tc>
        <w:tc>
          <w:tcPr>
            <w:tcW w:type="dxa" w:w="2160"/>
          </w:tcPr>
          <w:p>
            <w:r>
              <w:t>Umbral mínimo de Great Expectations para avanzar datos de Bronze a Silver</w:t>
            </w:r>
          </w:p>
        </w:tc>
      </w:tr>
      <w:tr>
        <w:tc>
          <w:tcPr>
            <w:tcW w:type="dxa" w:w="2160"/>
          </w:tcPr>
          <w:p>
            <w:r>
              <w:t>Calidad de datos (Silver)</w:t>
            </w:r>
          </w:p>
        </w:tc>
        <w:tc>
          <w:tcPr>
            <w:tcW w:type="dxa" w:w="2160"/>
          </w:tcPr>
          <w:p>
            <w:r>
              <w:t>Consistencia de código Ubigeo vs. catálogo INEI</w:t>
            </w:r>
          </w:p>
        </w:tc>
        <w:tc>
          <w:tcPr>
            <w:tcW w:type="dxa" w:w="2160"/>
          </w:tcPr>
          <w:p>
            <w:r>
              <w:t>100%</w:t>
            </w:r>
          </w:p>
        </w:tc>
        <w:tc>
          <w:tcPr>
            <w:tcW w:type="dxa" w:w="2160"/>
          </w:tcPr>
          <w:p>
            <w:r>
              <w:t>No se admite ambigüedad geográfica en el modelo dimensional</w:t>
            </w:r>
          </w:p>
        </w:tc>
      </w:tr>
      <w:tr>
        <w:tc>
          <w:tcPr>
            <w:tcW w:type="dxa" w:w="2160"/>
          </w:tcPr>
          <w:p>
            <w:r>
              <w:t>Promoción de modelos (CI/CD)</w:t>
            </w:r>
          </w:p>
        </w:tc>
        <w:tc>
          <w:tcPr>
            <w:tcW w:type="dxa" w:w="2160"/>
          </w:tcPr>
          <w:p>
            <w:r>
              <w:t>Umbral de staging a producción</w:t>
            </w:r>
          </w:p>
        </w:tc>
        <w:tc>
          <w:tcPr>
            <w:tcW w:type="dxa" w:w="2160"/>
          </w:tcPr>
          <w:p>
            <w:r>
              <w:t>F1 ≥ 0.75 y AUC-ROC ≥ 0.80</w:t>
            </w:r>
          </w:p>
        </w:tc>
        <w:tc>
          <w:tcPr>
            <w:tcW w:type="dxa" w:w="2160"/>
          </w:tcPr>
          <w:p>
            <w:r>
              <w:t>Formaliza el criterio de la sección 7.3 con valores concretos</w:t>
            </w:r>
          </w:p>
        </w:tc>
      </w:tr>
      <w:tr>
        <w:tc>
          <w:tcPr>
            <w:tcW w:type="dxa" w:w="2160"/>
          </w:tcPr>
          <w:p>
            <w:r>
              <w:t>Actualización de datos</w:t>
            </w:r>
          </w:p>
        </w:tc>
        <w:tc>
          <w:tcPr>
            <w:tcW w:type="dxa" w:w="2160"/>
          </w:tcPr>
          <w:p>
            <w:r>
              <w:t>Latencia entre ingesta y disponibilidad en Gold/dashboard</w:t>
            </w:r>
          </w:p>
        </w:tc>
        <w:tc>
          <w:tcPr>
            <w:tcW w:type="dxa" w:w="2160"/>
          </w:tcPr>
          <w:p>
            <w:r>
              <w:t>≤ 24 horas</w:t>
            </w:r>
          </w:p>
        </w:tc>
        <w:tc>
          <w:tcPr>
            <w:tcW w:type="dxa" w:w="2160"/>
          </w:tcPr>
          <w:p>
            <w:r>
              <w:t>SLA razonable dado que INDECI y Open-Meteo no se actualizan con frecuencia sub-diaria</w:t>
            </w:r>
          </w:p>
        </w:tc>
      </w:tr>
      <w:tr>
        <w:tc>
          <w:tcPr>
            <w:tcW w:type="dxa" w:w="2160"/>
          </w:tcPr>
          <w:p>
            <w:r>
              <w:t>Disponibilidad del sistema</w:t>
            </w:r>
          </w:p>
        </w:tc>
        <w:tc>
          <w:tcPr>
            <w:tcW w:type="dxa" w:w="2160"/>
          </w:tcPr>
          <w:p>
            <w:r>
              <w:t>Uptime mensual del pipeline y del dashboard</w:t>
            </w:r>
          </w:p>
        </w:tc>
        <w:tc>
          <w:tcPr>
            <w:tcW w:type="dxa" w:w="2160"/>
          </w:tcPr>
          <w:p>
            <w:r>
              <w:t>≥ 99%</w:t>
            </w:r>
          </w:p>
        </w:tc>
        <w:tc>
          <w:tcPr>
            <w:tcW w:type="dxa" w:w="2160"/>
          </w:tcPr>
          <w:p>
            <w:r>
              <w:t>Estándar razonable para un sistema de monitoreo continuo</w:t>
            </w:r>
          </w:p>
        </w:tc>
      </w:tr>
    </w:tbl>
    <w:p>
      <w:pPr>
        <w:pStyle w:val="Heading1"/>
      </w:pPr>
      <w:r>
        <w:t>12. Conclusiones</w:t>
      </w:r>
    </w:p>
    <w:p>
      <w:pPr>
        <w:pStyle w:val="ListBullet"/>
      </w:pPr>
      <w:r>
        <w:t>El problema identificado —ausencia, en CENEPRED, de un sistema de riesgo dinámico que complemente a SIGRID— está fundamentado con evidencia institucional y de disponibilidad real de datos, no sobre supuestos.</w:t>
      </w:r>
    </w:p>
    <w:p>
      <w:pPr>
        <w:pStyle w:val="ListBullet"/>
      </w:pPr>
      <w:r>
        <w:t>El alcance fue delimitado deliberadamente a cuatro fuentes (INDECI, Open-Meteo, USGS, NASA FIRMS) para mantener un proyecto viable y defendible, descartando fuentes adicionales que, si bien ofrecían monitoreo en tiempo real, no se ajustaban con precisión al problema físico-climático delimitado.</w:t>
      </w:r>
    </w:p>
    <w:p>
      <w:pPr>
        <w:pStyle w:val="ListBullet"/>
      </w:pPr>
      <w:r>
        <w:t>La arquitectura Medallion sobre Azure, junto con un marco explícito de gobernanza de datos, provee una base técnica sólida tanto para el componente descriptivo (BI) como para el predictivo (ML).</w:t>
      </w:r>
    </w:p>
    <w:p>
      <w:pPr>
        <w:pStyle w:val="ListBullet"/>
      </w:pPr>
      <w:r>
        <w:t>El componente de Machine Learning combina de forma honesta modelos supervisados, no supervisados y una comparación con Deep Learning, evitando forzar tecnologías donde no aportan valor real (como la predicción de sismos).</w:t>
      </w:r>
    </w:p>
    <w:p>
      <w:pPr>
        <w:pStyle w:val="Heading1"/>
      </w:pPr>
      <w:r>
        <w:t>13. Referencias</w:t>
      </w:r>
    </w:p>
    <w:p>
      <w:pPr>
        <w:pStyle w:val="ListBullet"/>
      </w:pPr>
      <w:r>
        <w:t>Congreso de la República del Perú. (2011). Ley N.º 29664, Ley que crea el Sistema Nacional de Gestión del Riesgo de Desastres (SINAGERD).</w:t>
      </w:r>
    </w:p>
    <w:p>
      <w:pPr>
        <w:pStyle w:val="ListBullet"/>
      </w:pPr>
      <w:r>
        <w:t>Instituto Nacional de Defensa Civil (INDECI). Sistema de Información Nacional para la Respuesta y Rehabilitación (SINPAD). Recuperado de datosabiertos.gob.pe.</w:t>
      </w:r>
    </w:p>
    <w:p>
      <w:pPr>
        <w:pStyle w:val="ListBullet"/>
      </w:pPr>
      <w:r>
        <w:t>Centro Nacional de Estimación, Prevención y Reducción del Riesgo de Desastres (CENEPRED). Sistema de Información para la Gestión del Riesgo de Desastres (SIGRID).</w:t>
      </w:r>
    </w:p>
    <w:p>
      <w:pPr>
        <w:pStyle w:val="ListBullet"/>
      </w:pPr>
      <w:r>
        <w:t>Open-Meteo. Documentación de la API de pronóstico y clima histórico. open-meteo.com.</w:t>
      </w:r>
    </w:p>
    <w:p>
      <w:pPr>
        <w:pStyle w:val="ListBullet"/>
      </w:pPr>
      <w:r>
        <w:t>United States Geological Survey (USGS). Earthquake Catalog API. earthquake.usgs.gov.</w:t>
      </w:r>
    </w:p>
    <w:p>
      <w:pPr>
        <w:pStyle w:val="ListBullet"/>
      </w:pPr>
      <w:r>
        <w:t>National Aeronautics and Space Administration (NASA). Fire Information for Resource Management System (FIRMS). firms.modaps.eosdis.nasa.gov.</w:t>
      </w:r>
    </w:p>
    <w:p>
      <w:pPr>
        <w:pStyle w:val="ListBullet"/>
      </w:pPr>
      <w:r>
        <w:t>Microsoft. Documentación de Azure Data Factory, Azure Databricks, Azure Synapse Analytics, Azure Machine Learning, Microsoft Purview y Azure OpenAI Service. learn.microsoft.com.</w:t>
      </w:r>
    </w:p>
    <w:p>
      <w:pPr>
        <w:pStyle w:val="ListBullet"/>
      </w:pPr>
      <w:r>
        <w:t>Documentación oficial de XGBoost, scikit-learn (Isolation Forest, K-Means) y Prophet (Meta).</w:t>
      </w:r>
    </w:p>
    <w:p>
      <w:r>
        <w:br w:type="page"/>
      </w:r>
    </w:p>
    <w:p>
      <w:pPr>
        <w:pStyle w:val="Heading1"/>
      </w:pPr>
      <w:r>
        <w:t>Anexo A. Glosario de términos</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F3A5F"/>
          </w:tcPr>
          <w:p>
            <w:r/>
            <w:r>
              <w:rPr>
                <w:b/>
                <w:color w:val="FFFFFF"/>
                <w:sz w:val="20"/>
              </w:rPr>
              <w:t>Término</w:t>
            </w:r>
          </w:p>
        </w:tc>
        <w:tc>
          <w:tcPr>
            <w:tcW w:type="dxa" w:w="7370"/>
            <w:shd w:val="clear" w:color="auto" w:fill="1F3A5F"/>
          </w:tcPr>
          <w:p>
            <w:r/>
            <w:r>
              <w:rPr>
                <w:b/>
                <w:color w:val="FFFFFF"/>
                <w:sz w:val="20"/>
              </w:rPr>
              <w:t>Definición</w:t>
            </w:r>
          </w:p>
        </w:tc>
      </w:tr>
      <w:tr>
        <w:tc>
          <w:tcPr>
            <w:tcW w:type="dxa" w:w="2835"/>
          </w:tcPr>
          <w:p>
            <w:r/>
            <w:r>
              <w:rPr>
                <w:sz w:val="20"/>
              </w:rPr>
              <w:t>Arquitectura Medallion</w:t>
            </w:r>
          </w:p>
        </w:tc>
        <w:tc>
          <w:tcPr>
            <w:tcW w:type="dxa" w:w="7370"/>
          </w:tcPr>
          <w:p>
            <w:r/>
            <w:r>
              <w:rPr>
                <w:sz w:val="20"/>
              </w:rPr>
              <w:t>Patrón de organización de un Data Lake en capas progresivas de calidad: Bronze (crudo), Silver (limpio), Gold (modelado para negocio)</w:t>
            </w:r>
          </w:p>
        </w:tc>
      </w:tr>
      <w:tr>
        <w:tc>
          <w:tcPr>
            <w:tcW w:type="dxa" w:w="2835"/>
          </w:tcPr>
          <w:p>
            <w:r/>
            <w:r>
              <w:rPr>
                <w:sz w:val="20"/>
              </w:rPr>
              <w:t>Esquema estrella</w:t>
            </w:r>
          </w:p>
        </w:tc>
        <w:tc>
          <w:tcPr>
            <w:tcW w:type="dxa" w:w="7370"/>
          </w:tcPr>
          <w:p>
            <w:r/>
            <w:r>
              <w:rPr>
                <w:sz w:val="20"/>
              </w:rPr>
              <w:t>Modelo dimensional compuesto por tablas de hechos (fact) y de dimensiones (dim), optimizado para consultas analíticas</w:t>
            </w:r>
          </w:p>
        </w:tc>
      </w:tr>
      <w:tr>
        <w:tc>
          <w:tcPr>
            <w:tcW w:type="dxa" w:w="2835"/>
          </w:tcPr>
          <w:p>
            <w:r/>
            <w:r>
              <w:rPr>
                <w:sz w:val="20"/>
              </w:rPr>
              <w:t>RAG (Retrieval-Augmented Generation)</w:t>
            </w:r>
          </w:p>
        </w:tc>
        <w:tc>
          <w:tcPr>
            <w:tcW w:type="dxa" w:w="7370"/>
          </w:tcPr>
          <w:p>
            <w:r/>
            <w:r>
              <w:rPr>
                <w:sz w:val="20"/>
              </w:rPr>
              <w:t>Patrón en el que un modelo de lenguaje genera respuestas apoyándose en información recuperada de una base de conocimiento propia</w:t>
            </w:r>
          </w:p>
        </w:tc>
      </w:tr>
      <w:tr>
        <w:tc>
          <w:tcPr>
            <w:tcW w:type="dxa" w:w="2835"/>
          </w:tcPr>
          <w:p>
            <w:r/>
            <w:r>
              <w:rPr>
                <w:sz w:val="20"/>
              </w:rPr>
              <w:t>SHAP</w:t>
            </w:r>
          </w:p>
        </w:tc>
        <w:tc>
          <w:tcPr>
            <w:tcW w:type="dxa" w:w="7370"/>
          </w:tcPr>
          <w:p>
            <w:r/>
            <w:r>
              <w:rPr>
                <w:sz w:val="20"/>
              </w:rPr>
              <w:t>Método de explicabilidad que cuantifica la contribución de cada variable a una predicción individual de un modelo de Machine Learning</w:t>
            </w:r>
          </w:p>
        </w:tc>
      </w:tr>
      <w:tr>
        <w:tc>
          <w:tcPr>
            <w:tcW w:type="dxa" w:w="2835"/>
          </w:tcPr>
          <w:p>
            <w:r/>
            <w:r>
              <w:rPr>
                <w:sz w:val="20"/>
              </w:rPr>
              <w:t>Time travel</w:t>
            </w:r>
          </w:p>
        </w:tc>
        <w:tc>
          <w:tcPr>
            <w:tcW w:type="dxa" w:w="7370"/>
          </w:tcPr>
          <w:p>
            <w:r/>
            <w:r>
              <w:rPr>
                <w:sz w:val="20"/>
              </w:rPr>
              <w:t>Capacidad de Delta Lake de consultar versiones anteriores de una tabla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