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HR Handbook</w:t>
      </w:r>
    </w:p>
    <w:p>
      <w:pPr>
        <w:pBdr>
          <w:bottom w:val="single" w:color="1F3864" w:sz="6" w:space="6"/>
        </w:pBdr>
        <w:spacing w:after="120"/>
      </w:pPr>
      <w:r>
        <w:rPr>
          <w:i/>
          <w:iCs/>
          <w:color w:val="666666"/>
          <w:sz w:val="17"/>
          <w:szCs w:val="17"/>
        </w:rPr>
        <w:t>K International Pvt. Ltd. — Internal Policy Document (Sample/Reference Only)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Purpose</w:t>
      </w:r>
    </w:p>
    <w:p>
      <w:pPr>
        <w:spacing w:after="60"/>
      </w:pPr>
      <w:r>
        <w:rPr>
          <w:sz w:val="19"/>
          <w:szCs w:val="19"/>
        </w:rPr>
        <w:t>This handbook is a quick reference to how HR processes work at K International Pvt. Ltd., from onboarding through to exit.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New joiners complete a 3-day induction covering company overview, tools, security training, and team introductions.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 laptop, email account, and access to core systems are provisioned before the joining date wherever possible.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 buddy from the same team is assigned to every new joiner for the first 30 days.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Performance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Formal performance reviews are conducted twice a year: a mid-year check-in and an annual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Goals are set at the start of the review cycle and tracked in the Performance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Ratings range from 'Needs Improvement' to 'Outstanding' and directly inform compensation revisions.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Compensation &amp; Promotions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The annual compensation review cycle runs from April to March, with revised pay effective from May.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Promotions are considered once a year during the annual review cycle, based on role readiness and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Off-cycle promotions may be approved for exceptional performance with HR and leadership sign-off.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Internal Mobility</w:t>
      </w:r>
    </w:p>
    <w:p>
      <w:pPr>
        <w:spacing w:after="60"/>
      </w:pPr>
      <w:r>
        <w:rPr>
          <w:sz w:val="19"/>
          <w:szCs w:val="19"/>
        </w:rPr>
        <w:t xml:space="preserve">Employees who have completed 12 months in their current role may apply for internal job postings through the HR portal, with their current manager informed at the time of application.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Exit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The standard notice period is 60 days for confirmed employees and 15 days during probation.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Exiting employees complete a knowledge transfer plan and return all company assets before the last working 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Full and final settlement is processed within 45 days of the last working 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All employees are invited to an exit interview with HR to share feedback.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Employee Resources</w:t>
      </w:r>
    </w:p>
    <w:p>
      <w:pPr>
        <w:spacing w:after="60"/>
      </w:pPr>
      <w:r>
        <w:rPr>
          <w:sz w:val="19"/>
          <w:szCs w:val="19"/>
        </w:rPr>
        <w:t xml:space="preserve">The HR portal, IT Helpdesk, and Employee Assistance Program are available to all employees. Policy documents, forms, and the holiday calendar are published on the company intranet.</w:t>
      </w:r>
    </w:p>
    <w:p>
      <w:pPr>
        <w:pBdr>
          <w:top w:val="single" w:color="CCCCCC" w:sz="4" w:space="6"/>
        </w:pBdr>
        <w:spacing w:before="200"/>
      </w:pPr>
      <w:r>
        <w:t xml:space="preserve"/>
      </w:r>
    </w:p>
    <w:p>
      <w:r>
        <w:rPr>
          <w:i/>
          <w:iCs/>
          <w:color w:val="888888"/>
          <w:sz w:val="14"/>
          <w:szCs w:val="14"/>
        </w:rPr>
        <w:t>This is a fictional sample document created for demonstration purposes for the K International Pvt. Ltd. Employee Knowledge Assistant project. It does not represent a real company or real policy terms.</w:t>
      </w:r>
    </w:p>
    <w:sectPr>
      <w:pgSz w:w="12240" w:h="15840" w:orient="portrait"/>
      <w:pgMar w:top="700" w:right="9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2026-09-07T07:50:12.390Z</dcterms:created>
  <dcterms:modified xsi:type="dcterms:W3CDTF">2026-09-07T07:50:12.390Z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