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Leave Policy</w:t>
      </w:r>
    </w:p>
    <w:p>
      <w:pPr>
        <w:pBdr>
          <w:bottom w:val="single" w:color="1F3864" w:sz="6" w:space="6"/>
        </w:pBdr>
        <w:spacing w:after="120"/>
      </w:pPr>
      <w:r>
        <w:rPr>
          <w:i/>
          <w:iCs/>
          <w:color w:val="666666"/>
          <w:sz w:val="17"/>
          <w:szCs w:val="17"/>
        </w:rPr>
        <w:t>K International Pvt. Ltd. — Internal Policy Document (Sample/Reference Only)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Purpose</w:t>
      </w:r>
    </w:p>
    <w:p>
      <w:pPr>
        <w:spacing w:after="60"/>
      </w:pPr>
      <w:r>
        <w:rPr>
          <w:sz w:val="19"/>
          <w:szCs w:val="19"/>
        </w:rPr>
        <w:t>This policy explains the types of leave available to employees of K International Pvt. Ltd., how leave accrues, and how to apply for it.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Types of Leave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Casual Leave (CL): 8 days per year, for short personal needs. Cannot be combined with more than 2 CL days at a time without manager approval.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Sick Leave (SL): 8 days per year. A medical certificate is required for sick leave exceeding 2 consecutive days.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Earned/Privilege Leave (EL): 15 days per year, accrued at 1.25 days per month, for planned time 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Maternity Leave: 26 weeks of paid leave as per applicable statutory guidelines.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Paternity Leave: 10 working days of paid leave, to be availed within 3 months of the child's birth.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Bereavement Leave: 5 working days in the event of the death of an immediate family member.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Accrual &amp; Carry-Forward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CL and SL do not carry forward to the next calendar year and lapse on December 31.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Up to 10 days of unused Earned Leave may be carried forward to the following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Earned Leave beyond 45 accumulated days is automatically encashed as per the Benefits policy.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Applying for Leave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All leave must be applied for through the HR portal before the leave dates, except in emergencies.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Casual and Sick Leave should be reported to the manager on or before the day of absence where possible.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Earned Leave of 3 or more consecutive days should be requested at least 5 working days in advance.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Leave is confirmed only after approval from the reporting manager in the HR portal.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Approval Authority</w:t>
      </w:r>
    </w:p>
    <w:p>
      <w:pPr>
        <w:spacing w:after="60"/>
      </w:pPr>
      <w:r>
        <w:rPr>
          <w:sz w:val="19"/>
          <w:szCs w:val="19"/>
        </w:rPr>
        <w:t xml:space="preserve">The immediate reporting manager approves all leave requests. HR is the approving authority for maternity, paternity, and bereavement leave, and for any leave request during an employee's notice period.</w:t>
      </w:r>
    </w:p>
    <w:p>
      <w:pPr>
        <w:pBdr>
          <w:top w:val="single" w:color="CCCCCC" w:sz="4" w:space="6"/>
        </w:pBdr>
        <w:spacing w:before="200"/>
      </w:pPr>
      <w:r>
        <w:t xml:space="preserve"/>
      </w:r>
    </w:p>
    <w:p>
      <w:r>
        <w:rPr>
          <w:i/>
          <w:iCs/>
          <w:color w:val="888888"/>
          <w:sz w:val="14"/>
          <w:szCs w:val="14"/>
        </w:rPr>
        <w:t>This is a fictional sample document created for demonstration purposes for the K International Pvt. Ltd. Employee Knowledge Assistant project. It does not represent a real company or real policy terms.</w:t>
      </w:r>
    </w:p>
    <w:sectPr>
      <w:pgSz w:w="12240" w:h="15840" w:orient="portrait"/>
      <w:pgMar w:top="700" w:right="9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2026-09-07T07:50:12.283Z</dcterms:created>
  <dcterms:modified xsi:type="dcterms:W3CDTF">2026-09-07T07:50:12.297Z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