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48"/>
        </w:rPr>
        <w:t>ACADEMIX PLATFORM</w:t>
        <w:br/>
      </w:r>
      <w:r>
        <w:rPr>
          <w:rFonts w:ascii="Arial" w:hAnsi="Arial"/>
          <w:b/>
          <w:color w:val="282828"/>
          <w:sz w:val="28"/>
        </w:rPr>
        <w:t>MANUAL DE DESPLIEGUE, CONFIGURACIÓN Y ACCESO WEB</w:t>
        <w:br/>
      </w:r>
    </w:p>
    <w:p>
      <w:pPr>
        <w:jc w:val="center"/>
      </w:pPr>
      <w:r>
        <w:rPr>
          <w:rFonts w:ascii="Arial" w:hAnsi="Arial"/>
          <w:color w:val="5A5A5A"/>
          <w:sz w:val="21"/>
        </w:rPr>
        <w:t>Infraestructura Cloud, Integración Continua (CI/CD) y Acceso a Producción</w:t>
        <w:br/>
      </w:r>
    </w:p>
    <w:p>
      <w:pPr>
        <w:jc w:val="center"/>
      </w:pPr>
      <w:r>
        <w:rPr>
          <w:rFonts w:ascii="Arial" w:hAnsi="Arial"/>
          <w:b/>
          <w:color w:val="10955D"/>
          <w:sz w:val="19"/>
        </w:rPr>
        <w:t>● ESTADO: EN LÍNEA (LIVE) EN RENDER CLOUD | OCTUBRE 2026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1. Datos Oficiales de Producción en Vivo</w:t>
      </w:r>
    </w:p>
    <w:p>
      <w:r>
        <w:rPr>
          <w:b/>
        </w:rPr>
        <w:t xml:space="preserve">• Enlace Oficial en Internet: </w:t>
      </w:r>
      <w:r>
        <w:t>https://academix-q2g4.onrender.com</w:t>
        <w:br/>
      </w:r>
      <w:r>
        <w:rPr>
          <w:b/>
        </w:rPr>
        <w:t xml:space="preserve">• Portal de Acceso (Login): </w:t>
      </w:r>
      <w:r>
        <w:t>https://academix-q2g4.onrender.com/accounts/login/</w:t>
        <w:br/>
      </w:r>
      <w:r>
        <w:rPr>
          <w:b/>
        </w:rPr>
        <w:t xml:space="preserve">• Repositorio de Código en GitHub: </w:t>
      </w:r>
      <w:r>
        <w:t>https://github.com/Yesi640/Academix.git</w:t>
        <w:br/>
      </w: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2. Credenciales Maestras Permanentes Inicializadas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728"/>
        <w:gridCol w:w="1728"/>
        <w:gridCol w:w="1584"/>
        <w:gridCol w:w="2304"/>
      </w:tblGrid>
      <w:tr>
        <w:tc>
          <w:tcPr>
            <w:tcW w:type="dxa" w:w="2304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 en el Selector</w:t>
            </w:r>
          </w:p>
        </w:tc>
        <w:tc>
          <w:tcPr>
            <w:tcW w:type="dxa" w:w="1728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Usuario / Documento</w:t>
            </w:r>
          </w:p>
        </w:tc>
        <w:tc>
          <w:tcPr>
            <w:tcW w:type="dxa" w:w="1728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ID Único Alumno</w:t>
            </w:r>
          </w:p>
        </w:tc>
        <w:tc>
          <w:tcPr>
            <w:tcW w:type="dxa" w:w="1584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Contraseña</w:t>
            </w:r>
          </w:p>
        </w:tc>
        <w:tc>
          <w:tcPr>
            <w:tcW w:type="dxa" w:w="2304"/>
            <w:shd w:fill="0F4C81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Perfil / Titular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👑 Superadministrador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admin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Administrador General de la Plataforma</w:t>
            </w:r>
          </w:p>
        </w:tc>
      </w:tr>
      <w:tr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🏛️ Rector / Rectora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rector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Rectoría y Dirección Institucional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📋 Secretaría Académica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nuryssecretaria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123456789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Nurys - Secretaría y Admisiones</w:t>
            </w:r>
          </w:p>
        </w:tc>
      </w:tr>
      <w:tr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👨‍🏫 Docente Titular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docente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N/A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Docente Titular y Director de Grupo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🎓 Alumno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alumno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ALU-2026-1001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Alumno Ejemplar (Matriculado)</w:t>
            </w:r>
          </w:p>
        </w:tc>
      </w:tr>
      <w:tr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👨‍👩‍👧 Padre de Familia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padre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ALU-2026-1001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42828"/>
                <w:sz w:val="17"/>
              </w:rPr>
              <w:t>Academix2026!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Acudiente Legal Vinculado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BF5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498DB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9"/>
              </w:rPr>
              <w:t>IMPORTANTE: Todas estas cuentas han sido provistas dentro del comando de arranque 'setup_production_init.py' de Render. Esto garantiza que nunca se borrarán incluso si el servidor gratuito entra en reposo temporal.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3. Arquitectura y Pipeline de Despliegue en la Nube</w:t>
      </w:r>
    </w:p>
    <w:p>
      <w:r>
        <w:t>El despliegue de ACADEMIX opera de forma totalmente automatizada mediante el siguiente flujo:</w:t>
        <w:br/>
      </w:r>
      <w:r>
        <w:t>1. Commit &amp; Push en GitHub: El desarrollador sube los cambios a la rama principal (main).</w:t>
        <w:br/>
      </w:r>
      <w:r>
        <w:t>2. Detección Webhook: Render detecta la actualización y arranca un contenedor Linux de construcción.</w:t>
        <w:br/>
      </w:r>
      <w:r>
        <w:t>3. Ejecución de build.sh: Actualiza pip, instala dependencias de requirements.txt, compila archivos estáticos (collectstatic) y aplica migraciones de base de datos.</w:t>
        <w:br/>
      </w:r>
      <w:r>
        <w:t>4. Inicialización Maestra: Ejecuta setup_production_init asegurando escuelas, periodos y los 6 usuarios oficiales.</w:t>
        <w:br/>
      </w:r>
      <w:r>
        <w:t>5. Arranque WSGI: Gunicorn inicia el servicio en el puerto asignado ($PORT) con soporte HTTPS nativo y WhiteNoise.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F4C81"/>
          <w:sz w:val="28"/>
        </w:rPr>
        <w:t>4. Variables de Entorno en el Dashboard de Render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3312"/>
        <w:gridCol w:w="3456"/>
      </w:tblGrid>
      <w:tr>
        <w:tc>
          <w:tcPr>
            <w:tcW w:type="dxa" w:w="3216"/>
            <w:shd w:fill="0F4C8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216"/>
            <w:shd w:fill="0F4C8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Valor Configurado</w:t>
            </w:r>
          </w:p>
        </w:tc>
        <w:tc>
          <w:tcPr>
            <w:tcW w:type="dxa" w:w="3216"/>
            <w:shd w:fill="0F4C8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rFonts w:ascii="Arial" w:hAnsi="Arial"/>
                <w:b/>
                <w:sz w:val="17"/>
              </w:rPr>
              <w:t>DATABASE_URL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postgresql://user:pass@host:5432/db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Cadena de conexión PostgreSQL persistente.</w:t>
            </w:r>
          </w:p>
        </w:tc>
      </w:tr>
      <w:tr>
        <w:tc>
          <w:tcPr>
            <w:tcW w:type="dxa" w:w="3216"/>
            <w:shd w:fill="F8F9FA"/>
          </w:tcPr>
          <w:p>
            <w:r>
              <w:rPr>
                <w:rFonts w:ascii="Arial" w:hAnsi="Arial"/>
                <w:b/>
                <w:sz w:val="17"/>
              </w:rPr>
              <w:t>USE_SQLITE_FALLBACK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False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Evita el uso de base de datos volátil en disco.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rFonts w:ascii="Arial" w:hAnsi="Arial"/>
                <w:b/>
                <w:sz w:val="17"/>
              </w:rPr>
              <w:t>SECRET_KEY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Generada en Render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Clave criptográfica para firmas de sesión y CSRF.</w:t>
            </w:r>
          </w:p>
        </w:tc>
      </w:tr>
      <w:tr>
        <w:tc>
          <w:tcPr>
            <w:tcW w:type="dxa" w:w="3216"/>
            <w:shd w:fill="F8F9FA"/>
          </w:tcPr>
          <w:p>
            <w:r>
              <w:rPr>
                <w:rFonts w:ascii="Arial" w:hAnsi="Arial"/>
                <w:b/>
                <w:sz w:val="17"/>
              </w:rPr>
              <w:t>DEBUG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False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Modo estricto de seguridad para ambiente de producción.</w:t>
            </w:r>
          </w:p>
        </w:tc>
      </w:tr>
      <w:tr>
        <w:tc>
          <w:tcPr>
            <w:tcW w:type="dxa" w:w="3216"/>
            <w:shd w:fill="FFFFFF"/>
          </w:tcPr>
          <w:p>
            <w:r>
              <w:rPr>
                <w:rFonts w:ascii="Arial" w:hAnsi="Arial"/>
                <w:b/>
                <w:sz w:val="17"/>
              </w:rPr>
              <w:t>EMAIL_HOST_USER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academix651@gmail.com</w:t>
            </w:r>
          </w:p>
        </w:tc>
        <w:tc>
          <w:tcPr>
            <w:tcW w:type="dxa" w:w="3216"/>
            <w:shd w:fill="FFFFFF"/>
          </w:tcPr>
          <w:p>
            <w:r>
              <w:rPr>
                <w:rFonts w:ascii="Arial" w:hAnsi="Arial"/>
                <w:sz w:val="17"/>
              </w:rPr>
              <w:t>Cuenta SMTP para envío de credenciales.</w:t>
            </w:r>
          </w:p>
        </w:tc>
      </w:tr>
      <w:tr>
        <w:tc>
          <w:tcPr>
            <w:tcW w:type="dxa" w:w="3216"/>
            <w:shd w:fill="F8F9FA"/>
          </w:tcPr>
          <w:p>
            <w:r>
              <w:rPr>
                <w:rFonts w:ascii="Arial" w:hAnsi="Arial"/>
                <w:b/>
                <w:sz w:val="17"/>
              </w:rPr>
              <w:t>EMAIL_HOST_PASSWORD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uzgn axgt yxpf mvvv</w:t>
            </w:r>
          </w:p>
        </w:tc>
        <w:tc>
          <w:tcPr>
            <w:tcW w:type="dxa" w:w="3216"/>
            <w:shd w:fill="F8F9FA"/>
          </w:tcPr>
          <w:p>
            <w:r>
              <w:rPr>
                <w:rFonts w:ascii="Arial" w:hAnsi="Arial"/>
                <w:sz w:val="17"/>
              </w:rPr>
              <w:t>Clave de aplicación Gmail de 16 caracteres.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