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48"/>
        </w:rPr>
        <w:t>ACADEMIX PLATFORM</w:t>
        <w:br/>
      </w:r>
      <w:r>
        <w:rPr>
          <w:rFonts w:ascii="Arial" w:hAnsi="Arial"/>
          <w:b/>
          <w:color w:val="282828"/>
          <w:sz w:val="28"/>
        </w:rPr>
        <w:t>MANUAL TÉCNICO DE INGENIERÍA Y ARQUITECTURA DE SOFTWARE</w:t>
        <w:br/>
      </w:r>
    </w:p>
    <w:p>
      <w:pPr>
        <w:jc w:val="center"/>
      </w:pPr>
      <w:r>
        <w:rPr>
          <w:rFonts w:ascii="Arial" w:hAnsi="Arial"/>
          <w:color w:val="5A5A5A"/>
          <w:sz w:val="21"/>
        </w:rPr>
        <w:t>Especificación Técnica de Modelos de Datos, Seguridad, Concurrencia y API</w:t>
        <w:br/>
      </w:r>
    </w:p>
    <w:p>
      <w:pPr>
        <w:jc w:val="center"/>
      </w:pPr>
      <w:r>
        <w:rPr>
          <w:rFonts w:ascii="Arial" w:hAnsi="Arial"/>
          <w:b/>
          <w:color w:val="10955D"/>
          <w:sz w:val="19"/>
        </w:rPr>
        <w:t>● VERSIÓN: 2.5.0 | FRAMEWORK: DJANGO 5.x / PYTHON 3.10+ | PRODUCCIÓN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1. Arquitectura General y Patrón Multi-Sede</w:t>
      </w:r>
    </w:p>
    <w:p>
      <w:r>
        <w:t xml:space="preserve">ACADEMIX está desarrollado bajo una arquitectura modular limpia en capas (MVT - Modelo Vista Plantilla) extendida con capas de Servicios (Services) y Reglas de Negocio (Rules). La plataforma incorpora soporte nativo para múltiples sedes educativas (Multi-School SaaS) a través de la entidad </w:t>
      </w:r>
      <w:r>
        <w:rPr>
          <w:b/>
        </w:rPr>
        <w:t>School</w:t>
      </w:r>
      <w:r>
        <w:t>, permitiendo que cada usuario pertenezca a su respectiva institución con aislamiento visual de colores institucionales, escudos y calendarios escolares.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2. Stack Tecnológico de Grado Corporativo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880"/>
        <w:gridCol w:w="4176"/>
      </w:tblGrid>
      <w:tr>
        <w:tc>
          <w:tcPr>
            <w:tcW w:type="dxa" w:w="3216"/>
            <w:shd w:fill="0F4C8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16"/>
            <w:shd w:fill="0F4C8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Tecnología / Versión</w:t>
            </w:r>
          </w:p>
        </w:tc>
        <w:tc>
          <w:tcPr>
            <w:tcW w:type="dxa" w:w="3216"/>
            <w:shd w:fill="0F4C8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Funcionalidad en ACADEMIX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Arial" w:hAnsi="Arial"/>
                <w:b/>
                <w:sz w:val="17"/>
              </w:rPr>
              <w:t>Lenguaje Backend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Python 3.10 / 3.11 / 3.12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Tipado dinámico estricto, async support y compatibilidad cloud.</w:t>
            </w:r>
          </w:p>
        </w:tc>
      </w:tr>
      <w:tr>
        <w:tc>
          <w:tcPr>
            <w:tcW w:type="dxa" w:w="3216"/>
            <w:shd w:fill="F8F9FA"/>
          </w:tcPr>
          <w:p>
            <w:r>
              <w:rPr>
                <w:rFonts w:ascii="Arial" w:hAnsi="Arial"/>
                <w:b/>
                <w:sz w:val="17"/>
              </w:rPr>
              <w:t>Framework Web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Django 5.0+ / 5.1+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ORM relacional, autenticación segura, CSRF nativo y sistema de caché.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Arial" w:hAnsi="Arial"/>
                <w:b/>
                <w:sz w:val="17"/>
              </w:rPr>
              <w:t>Servidor de Producción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Gunicorn 22.0.0+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Servidor WSGI pre-fork con manejo eficiente de workers y memoria.</w:t>
            </w:r>
          </w:p>
        </w:tc>
      </w:tr>
      <w:tr>
        <w:tc>
          <w:tcPr>
            <w:tcW w:type="dxa" w:w="3216"/>
            <w:shd w:fill="F8F9FA"/>
          </w:tcPr>
          <w:p>
            <w:r>
              <w:rPr>
                <w:rFonts w:ascii="Arial" w:hAnsi="Arial"/>
                <w:b/>
                <w:sz w:val="17"/>
              </w:rPr>
              <w:t>Base de Datos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PostgreSQL 15+ / SQLite WAL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Transacciones atómicas (ATOMIC_REQUESTS=True) y concurrencia optimizada.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Arial" w:hAnsi="Arial"/>
                <w:b/>
                <w:sz w:val="17"/>
              </w:rPr>
              <w:t>Distribución Estática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WhiteNoise 6.8.0+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Servidor de compresión Gzip y Brotli con hash de versiones para caché.</w:t>
            </w:r>
          </w:p>
        </w:tc>
      </w:tr>
      <w:tr>
        <w:tc>
          <w:tcPr>
            <w:tcW w:type="dxa" w:w="3216"/>
            <w:shd w:fill="F8F9FA"/>
          </w:tcPr>
          <w:p>
            <w:r>
              <w:rPr>
                <w:rFonts w:ascii="Arial" w:hAnsi="Arial"/>
                <w:b/>
                <w:sz w:val="17"/>
              </w:rPr>
              <w:t>Generación Documental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OpenPyXL, QRCode, python-docx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Exportación de sábanas en Excel, QR en boletines y actas en Word.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3. Modelo Relacional de Base de Datos y Entidades</w:t>
      </w:r>
    </w:p>
    <w:p>
      <w:r>
        <w:t>Las entidades nucleares del sistema se dividen en los siguientes dominios:</w:t>
        <w:br/>
      </w:r>
      <w:r>
        <w:rPr>
          <w:b/>
        </w:rPr>
        <w:t xml:space="preserve">• apps.accounts (CustomUser, School): </w:t>
      </w:r>
      <w:r>
        <w:t>Maneja la autenticación, tipo y número de documento, escuela y 6 roles institucionales.</w:t>
        <w:br/>
      </w:r>
      <w:r>
        <w:rPr>
          <w:b/>
        </w:rPr>
        <w:t xml:space="preserve">• apps.students (StudentProfile, Enrollment): </w:t>
      </w:r>
      <w:r>
        <w:t>Expediente con ID único de estudiante, ficha médica, tipo de sangre, acudiente y matrícula en curso.</w:t>
        <w:br/>
      </w:r>
      <w:r>
        <w:rPr>
          <w:b/>
        </w:rPr>
        <w:t xml:space="preserve">• apps.teachers (TeacherProfile, TeachingAssignment): </w:t>
      </w:r>
      <w:r>
        <w:t>Ficha profesional docente, asignación a grupos escolares y asignaturas con rol de director de grupo.</w:t>
        <w:br/>
      </w:r>
      <w:r>
        <w:rPr>
          <w:b/>
        </w:rPr>
        <w:t xml:space="preserve">• apps.courses (GradeLevel, CourseSection, AcademicYear): </w:t>
      </w:r>
      <w:r>
        <w:t>Catálogo escolar de Transición a 11°, aulas físicas y periodos lectivos.</w:t>
        <w:br/>
      </w:r>
      <w:r>
        <w:rPr>
          <w:b/>
        </w:rPr>
        <w:t xml:space="preserve">• apps.grades (Grade, EvaluationCriteria): </w:t>
      </w:r>
      <w:r>
        <w:t>Calificaciones en dimensiones SABER (40%), HACER (40%) y SER (20%) con equivalencia en escala nacional MEN.</w:t>
        <w:br/>
      </w:r>
      <w:r>
        <w:rPr>
          <w:b/>
        </w:rPr>
        <w:t xml:space="preserve">• apps.audit (AuditLog): </w:t>
      </w:r>
      <w:r>
        <w:t>Registro inmutable de auditoría con fecha, hora, IP, usuario, tabla afectada y valores JSON previos/nuevos.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4. Seguridad y Hardening en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498DB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9"/>
              </w:rPr>
              <w:t>El sistema superó exitosamente la auditoría de despliegue 'python manage.py check --deploy' con redirección obligatoria a HTTPS (SECURE_SSL_REDIRECT), cookies HTTPOnly seguras, cabecera HSTS a 1 año y protección total contra clickjacking e inyecciones de cabecera.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