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720"/>
        <w:jc w:val="center"/>
      </w:pPr>
      <w:r>
        <w:rPr>
          <w:rFonts w:ascii="Arial" w:hAnsi="Arial"/>
          <w:b/>
          <w:color w:val="64748B"/>
          <w:sz w:val="22"/>
        </w:rPr>
        <w:t>SERVICIO NACIONAL DE APRENDIZAJE - SENA</w:t>
        <w:br/>
        <w:t>CENTRO DE COMERCIO Y SERVICIOS</w:t>
        <w:br/>
        <w:t>TECNOLOGÍA EN ANÁLISIS Y DESARROLLO DE SOFTWARE</w:t>
      </w:r>
    </w:p>
    <w:p>
      <w:pPr>
        <w:spacing w:after="800"/>
        <w:jc w:val="center"/>
      </w:pPr>
      <w:r>
        <w:rPr>
          <w:rFonts w:ascii="Arial" w:hAnsi="Arial"/>
          <w:b/>
          <w:color w:val="0D1B2A"/>
          <w:sz w:val="44"/>
        </w:rPr>
        <w:t>GUION OFICIAL DE SUSTENTACIÓN Y DEFENSA TÉCNICA DEL PROYECTO ACADEMIX</w:t>
        <w:br/>
      </w:r>
      <w:r>
        <w:rPr>
          <w:rFonts w:ascii="Arial" w:hAnsi="Arial"/>
          <w:b/>
          <w:color w:val="008BD4"/>
          <w:sz w:val="26"/>
        </w:rPr>
        <w:t>Sistema Integral de Gestión Académica, Convivencia Escolar y Control Institucional</w:t>
        <w:br/>
        <w:t>Estructura Temática Oficial, Discursos Literales y Documentación del Proyecto</w:t>
      </w:r>
    </w:p>
    <w:tbl>
      <w:tblPr>
        <w:tblW w:type="auto" w:w="0"/>
        <w:jc w:val="center"/>
        <w:tblLayout w:type="fixed"/>
        <w:tblLook w:firstColumn="1" w:firstRow="1" w:lastColumn="0" w:lastRow="0" w:noHBand="0" w:noVBand="1" w:val="04A0"/>
      </w:tblPr>
      <w:tblGrid>
        <w:gridCol w:w="3312"/>
        <w:gridCol w:w="6048"/>
      </w:tblGrid>
      <w:tr>
        <w:tc>
          <w:tcPr>
            <w:tcW w:type="dxa" w:w="4680"/>
            <w:shd w:fill="F8FAFC"/>
            <w:tcMar>
              <w:top w:w="100" w:type="dxa"/>
              <w:bottom w:w="100" w:type="dxa"/>
              <w:left w:w="150" w:type="dxa"/>
              <w:right w:w="150" w:type="dxa"/>
            </w:tcMar>
          </w:tcPr>
          <w:p>
            <w:r>
              <w:rPr>
                <w:b/>
                <w:color w:val="0D1B2A"/>
                <w:sz w:val="20"/>
              </w:rPr>
              <w:t>Programa Académico:</w:t>
            </w:r>
          </w:p>
        </w:tc>
        <w:tc>
          <w:tcPr>
            <w:tcW w:type="dxa" w:w="4680"/>
            <w:shd w:fill="FFFFFF"/>
            <w:tcMar>
              <w:top w:w="100" w:type="dxa"/>
              <w:bottom w:w="100" w:type="dxa"/>
              <w:left w:w="150" w:type="dxa"/>
              <w:right w:w="150" w:type="dxa"/>
            </w:tcMar>
          </w:tcPr>
          <w:p>
            <w:r>
              <w:rPr>
                <w:color w:val="1E293B"/>
                <w:sz w:val="20"/>
              </w:rPr>
              <w:t>Tecnología en Análisis y Desarrollo de Software (ADSO)</w:t>
            </w:r>
          </w:p>
        </w:tc>
      </w:tr>
      <w:tr>
        <w:tc>
          <w:tcPr>
            <w:tcW w:type="dxa" w:w="4680"/>
            <w:shd w:fill="F8FAFC"/>
            <w:tcMar>
              <w:top w:w="100" w:type="dxa"/>
              <w:bottom w:w="100" w:type="dxa"/>
              <w:left w:w="150" w:type="dxa"/>
              <w:right w:w="150" w:type="dxa"/>
            </w:tcMar>
          </w:tcPr>
          <w:p>
            <w:r>
              <w:rPr>
                <w:b/>
                <w:color w:val="0D1B2A"/>
                <w:sz w:val="20"/>
              </w:rPr>
              <w:t>Número de Ficha:</w:t>
            </w:r>
          </w:p>
        </w:tc>
        <w:tc>
          <w:tcPr>
            <w:tcW w:type="dxa" w:w="4680"/>
            <w:shd w:fill="FFFFFF"/>
            <w:tcMar>
              <w:top w:w="100" w:type="dxa"/>
              <w:bottom w:w="100" w:type="dxa"/>
              <w:left w:w="150" w:type="dxa"/>
              <w:right w:w="150" w:type="dxa"/>
            </w:tcMar>
          </w:tcPr>
          <w:p>
            <w:r>
              <w:rPr>
                <w:color w:val="1E293B"/>
                <w:sz w:val="20"/>
              </w:rPr>
              <w:t>3173430</w:t>
            </w:r>
          </w:p>
        </w:tc>
      </w:tr>
      <w:tr>
        <w:tc>
          <w:tcPr>
            <w:tcW w:type="dxa" w:w="4680"/>
            <w:shd w:fill="F8FAFC"/>
            <w:tcMar>
              <w:top w:w="100" w:type="dxa"/>
              <w:bottom w:w="100" w:type="dxa"/>
              <w:left w:w="150" w:type="dxa"/>
              <w:right w:w="150" w:type="dxa"/>
            </w:tcMar>
          </w:tcPr>
          <w:p>
            <w:r>
              <w:rPr>
                <w:b/>
                <w:color w:val="0D1B2A"/>
                <w:sz w:val="20"/>
              </w:rPr>
              <w:t>Instructor Evaluador:</w:t>
            </w:r>
          </w:p>
        </w:tc>
        <w:tc>
          <w:tcPr>
            <w:tcW w:type="dxa" w:w="4680"/>
            <w:shd w:fill="FFFFFF"/>
            <w:tcMar>
              <w:top w:w="100" w:type="dxa"/>
              <w:bottom w:w="100" w:type="dxa"/>
              <w:left w:w="150" w:type="dxa"/>
              <w:right w:w="150" w:type="dxa"/>
            </w:tcMar>
          </w:tcPr>
          <w:p>
            <w:r>
              <w:rPr>
                <w:color w:val="1E293B"/>
                <w:sz w:val="20"/>
              </w:rPr>
              <w:t>Ing. Anybal López</w:t>
            </w:r>
          </w:p>
        </w:tc>
      </w:tr>
      <w:tr>
        <w:tc>
          <w:tcPr>
            <w:tcW w:type="dxa" w:w="4680"/>
            <w:shd w:fill="F8FAFC"/>
            <w:tcMar>
              <w:top w:w="100" w:type="dxa"/>
              <w:bottom w:w="100" w:type="dxa"/>
              <w:left w:w="150" w:type="dxa"/>
              <w:right w:w="150" w:type="dxa"/>
            </w:tcMar>
          </w:tcPr>
          <w:p>
            <w:r>
              <w:rPr>
                <w:b/>
                <w:color w:val="0D1B2A"/>
                <w:sz w:val="20"/>
              </w:rPr>
              <w:t>Equipo de Sustentación:</w:t>
            </w:r>
          </w:p>
        </w:tc>
        <w:tc>
          <w:tcPr>
            <w:tcW w:type="dxa" w:w="4680"/>
            <w:shd w:fill="FFFFFF"/>
            <w:tcMar>
              <w:top w:w="100" w:type="dxa"/>
              <w:bottom w:w="100" w:type="dxa"/>
              <w:left w:w="150" w:type="dxa"/>
              <w:right w:w="150" w:type="dxa"/>
            </w:tcMar>
          </w:tcPr>
          <w:p>
            <w:r>
              <w:rPr>
                <w:color w:val="1E293B"/>
                <w:sz w:val="20"/>
              </w:rPr>
              <w:t>1. Yurleidis Londoño</w:t>
              <w:br/>
              <w:t>2. Nurys González</w:t>
              <w:br/>
              <w:t>3. Yesireth Cabrera</w:t>
            </w:r>
          </w:p>
        </w:tc>
      </w:tr>
      <w:tr>
        <w:tc>
          <w:tcPr>
            <w:tcW w:type="dxa" w:w="4680"/>
            <w:shd w:fill="F8FAFC"/>
            <w:tcMar>
              <w:top w:w="100" w:type="dxa"/>
              <w:bottom w:w="100" w:type="dxa"/>
              <w:left w:w="150" w:type="dxa"/>
              <w:right w:w="150" w:type="dxa"/>
            </w:tcMar>
          </w:tcPr>
          <w:p>
            <w:r>
              <w:rPr>
                <w:b/>
                <w:color w:val="0D1B2A"/>
                <w:sz w:val="20"/>
              </w:rPr>
              <w:t>Año y Modalidad:</w:t>
            </w:r>
          </w:p>
        </w:tc>
        <w:tc>
          <w:tcPr>
            <w:tcW w:type="dxa" w:w="4680"/>
            <w:shd w:fill="FFFFFF"/>
            <w:tcMar>
              <w:top w:w="100" w:type="dxa"/>
              <w:bottom w:w="100" w:type="dxa"/>
              <w:left w:w="150" w:type="dxa"/>
              <w:right w:w="150" w:type="dxa"/>
            </w:tcMar>
          </w:tcPr>
          <w:p>
            <w:r>
              <w:rPr>
                <w:color w:val="1E293B"/>
                <w:sz w:val="20"/>
              </w:rPr>
              <w:t>2026 • Sustentación Presencial de Proyecto Formativo</w:t>
            </w:r>
          </w:p>
        </w:tc>
      </w:tr>
    </w:tbl>
    <w:p>
      <w:r>
        <w:br w:type="page"/>
      </w:r>
    </w:p>
    <w:p>
      <w:pPr>
        <w:pStyle w:val="Heading1"/>
      </w:pPr>
      <w:r>
        <w:t>1. Organización de la Sustentación y Distribución de Roles</w:t>
      </w:r>
    </w:p>
    <w:p>
      <w:pPr>
        <w:spacing w:after="240"/>
      </w:pPr>
      <w:r>
        <w:t>El presente documento constituye el guion integral y exhaustivo de sustentación para la defensa técnica del proyecto ACADEMIX ante el jurado calificador e instructor líder Anybal López. La presentación está organizada estratégicamente en 6 grandes núcleos temáticos, distribuidos equitativamente entre las 3 desarrolladoras del proyecto. Cada ponente cuenta con sus intervenciones redactadas de forma literal, acompañada de la explicación del contexto pedagógico, las justificaciones arquitectónicas, los comandos técnicos de ejecución y las referencias a los manuales que respaldan el código fuente.</w:t>
      </w:r>
    </w:p>
    <w:tbl>
      <w:tblPr>
        <w:tblW w:type="auto" w:w="0"/>
        <w:jc w:val="center"/>
        <w:tblLayout w:type="fixed"/>
        <w:tblLook w:firstColumn="1" w:firstRow="1" w:lastColumn="0" w:lastRow="0" w:noHBand="0" w:noVBand="1" w:val="04A0"/>
      </w:tblPr>
      <w:tblGrid>
        <w:gridCol w:w="2304"/>
        <w:gridCol w:w="2592"/>
        <w:gridCol w:w="3024"/>
        <w:gridCol w:w="1440"/>
      </w:tblGrid>
      <w:tr>
        <w:tc>
          <w:tcPr>
            <w:tcW w:type="dxa" w:w="2340"/>
            <w:shd w:fill="0D1B2A"/>
            <w:tcMar>
              <w:top w:w="120" w:type="dxa"/>
              <w:bottom w:w="120" w:type="dxa"/>
              <w:left w:w="120" w:type="dxa"/>
              <w:right w:w="120" w:type="dxa"/>
            </w:tcMar>
          </w:tcPr>
          <w:p>
            <w:r>
              <w:rPr>
                <w:b/>
                <w:color w:val="FFFFFF"/>
                <w:sz w:val="19"/>
              </w:rPr>
              <w:t>Expositora</w:t>
            </w:r>
          </w:p>
        </w:tc>
        <w:tc>
          <w:tcPr>
            <w:tcW w:type="dxa" w:w="2340"/>
            <w:shd w:fill="0D1B2A"/>
            <w:tcMar>
              <w:top w:w="120" w:type="dxa"/>
              <w:bottom w:w="120" w:type="dxa"/>
              <w:left w:w="120" w:type="dxa"/>
              <w:right w:w="120" w:type="dxa"/>
            </w:tcMar>
          </w:tcPr>
          <w:p>
            <w:r>
              <w:rPr>
                <w:b/>
                <w:color w:val="FFFFFF"/>
                <w:sz w:val="19"/>
              </w:rPr>
              <w:t>Temas Asignados</w:t>
            </w:r>
          </w:p>
        </w:tc>
        <w:tc>
          <w:tcPr>
            <w:tcW w:type="dxa" w:w="2340"/>
            <w:shd w:fill="0D1B2A"/>
            <w:tcMar>
              <w:top w:w="120" w:type="dxa"/>
              <w:bottom w:w="120" w:type="dxa"/>
              <w:left w:w="120" w:type="dxa"/>
              <w:right w:w="120" w:type="dxa"/>
            </w:tcMar>
          </w:tcPr>
          <w:p>
            <w:r>
              <w:rPr>
                <w:b/>
                <w:color w:val="FFFFFF"/>
                <w:sz w:val="19"/>
              </w:rPr>
              <w:t>Especialidad Técnica</w:t>
            </w:r>
          </w:p>
        </w:tc>
        <w:tc>
          <w:tcPr>
            <w:tcW w:type="dxa" w:w="2340"/>
            <w:shd w:fill="0D1B2A"/>
            <w:tcMar>
              <w:top w:w="120" w:type="dxa"/>
              <w:bottom w:w="120" w:type="dxa"/>
              <w:left w:w="120" w:type="dxa"/>
              <w:right w:w="120" w:type="dxa"/>
            </w:tcMar>
          </w:tcPr>
          <w:p>
            <w:r>
              <w:rPr>
                <w:b/>
                <w:color w:val="FFFFFF"/>
                <w:sz w:val="19"/>
              </w:rPr>
              <w:t>Tiempo Est.</w:t>
            </w:r>
          </w:p>
        </w:tc>
      </w:tr>
      <w:tr>
        <w:tc>
          <w:tcPr>
            <w:tcW w:type="dxa" w:w="2340"/>
            <w:shd w:fill="F8FAFC"/>
            <w:tcMar>
              <w:top w:w="100" w:type="dxa"/>
              <w:bottom w:w="100" w:type="dxa"/>
              <w:left w:w="120" w:type="dxa"/>
              <w:right w:w="120" w:type="dxa"/>
            </w:tcMar>
          </w:tcPr>
          <w:p>
            <w:r>
              <w:rPr>
                <w:color w:val="1E293B"/>
                <w:sz w:val="19"/>
              </w:rPr>
              <w:t>Yurleidis Londoño</w:t>
            </w:r>
          </w:p>
        </w:tc>
        <w:tc>
          <w:tcPr>
            <w:tcW w:type="dxa" w:w="2340"/>
            <w:shd w:fill="F8FAFC"/>
            <w:tcMar>
              <w:top w:w="100" w:type="dxa"/>
              <w:bottom w:w="100" w:type="dxa"/>
              <w:left w:w="120" w:type="dxa"/>
              <w:right w:w="120" w:type="dxa"/>
            </w:tcMar>
          </w:tcPr>
          <w:p>
            <w:r>
              <w:rPr>
                <w:color w:val="1E293B"/>
                <w:sz w:val="19"/>
              </w:rPr>
              <w:t>Apertura, Problemática,</w:t>
              <w:br/>
              <w:t>Tema 1 (Qué es y Entorno),</w:t>
              <w:br/>
              <w:t>Tema 2 (Pasos de Despliegue)</w:t>
            </w:r>
          </w:p>
        </w:tc>
        <w:tc>
          <w:tcPr>
            <w:tcW w:type="dxa" w:w="2340"/>
            <w:shd w:fill="F8FAFC"/>
            <w:tcMar>
              <w:top w:w="100" w:type="dxa"/>
              <w:bottom w:w="100" w:type="dxa"/>
              <w:left w:w="120" w:type="dxa"/>
              <w:right w:w="120" w:type="dxa"/>
            </w:tcMar>
          </w:tcPr>
          <w:p>
            <w:r>
              <w:rPr>
                <w:color w:val="1E293B"/>
                <w:sz w:val="19"/>
              </w:rPr>
              <w:t>Infraestructura, Servidores Linux, Stack Tecnológico y WSGI</w:t>
            </w:r>
          </w:p>
        </w:tc>
        <w:tc>
          <w:tcPr>
            <w:tcW w:type="dxa" w:w="2340"/>
            <w:shd w:fill="F8FAFC"/>
            <w:tcMar>
              <w:top w:w="100" w:type="dxa"/>
              <w:bottom w:w="100" w:type="dxa"/>
              <w:left w:w="120" w:type="dxa"/>
              <w:right w:w="120" w:type="dxa"/>
            </w:tcMar>
          </w:tcPr>
          <w:p>
            <w:r>
              <w:rPr>
                <w:color w:val="1E293B"/>
                <w:sz w:val="19"/>
              </w:rPr>
              <w:t>6 - 7 min</w:t>
            </w:r>
          </w:p>
        </w:tc>
      </w:tr>
      <w:tr>
        <w:tc>
          <w:tcPr>
            <w:tcW w:type="dxa" w:w="2340"/>
            <w:shd w:fill="FFFFFF"/>
            <w:tcMar>
              <w:top w:w="100" w:type="dxa"/>
              <w:bottom w:w="100" w:type="dxa"/>
              <w:left w:w="120" w:type="dxa"/>
              <w:right w:w="120" w:type="dxa"/>
            </w:tcMar>
          </w:tcPr>
          <w:p>
            <w:r>
              <w:rPr>
                <w:color w:val="1E293B"/>
                <w:sz w:val="19"/>
              </w:rPr>
              <w:t>Nurys González</w:t>
            </w:r>
          </w:p>
        </w:tc>
        <w:tc>
          <w:tcPr>
            <w:tcW w:type="dxa" w:w="2340"/>
            <w:shd w:fill="FFFFFF"/>
            <w:tcMar>
              <w:top w:w="100" w:type="dxa"/>
              <w:bottom w:w="100" w:type="dxa"/>
              <w:left w:w="120" w:type="dxa"/>
              <w:right w:w="120" w:type="dxa"/>
            </w:tcMar>
          </w:tcPr>
          <w:p>
            <w:r>
              <w:rPr>
                <w:color w:val="1E293B"/>
                <w:sz w:val="19"/>
              </w:rPr>
              <w:t>Tema 3 (Respaldo, Recuperación y Observabilidad),</w:t>
              <w:br/>
              <w:t>Tema 4 (Arquitectura MVT y Aseguramiento)</w:t>
            </w:r>
          </w:p>
        </w:tc>
        <w:tc>
          <w:tcPr>
            <w:tcW w:type="dxa" w:w="2340"/>
            <w:shd w:fill="FFFFFF"/>
            <w:tcMar>
              <w:top w:w="100" w:type="dxa"/>
              <w:bottom w:w="100" w:type="dxa"/>
              <w:left w:w="120" w:type="dxa"/>
              <w:right w:w="120" w:type="dxa"/>
            </w:tcMar>
          </w:tcPr>
          <w:p>
            <w:r>
              <w:rPr>
                <w:color w:val="1E293B"/>
                <w:sz w:val="19"/>
              </w:rPr>
              <w:t>Base de Datos PostgreSQL, Continuidad 3-2-1, MVT y RBAC</w:t>
            </w:r>
          </w:p>
        </w:tc>
        <w:tc>
          <w:tcPr>
            <w:tcW w:type="dxa" w:w="2340"/>
            <w:shd w:fill="FFFFFF"/>
            <w:tcMar>
              <w:top w:w="100" w:type="dxa"/>
              <w:bottom w:w="100" w:type="dxa"/>
              <w:left w:w="120" w:type="dxa"/>
              <w:right w:w="120" w:type="dxa"/>
            </w:tcMar>
          </w:tcPr>
          <w:p>
            <w:r>
              <w:rPr>
                <w:color w:val="1E293B"/>
                <w:sz w:val="19"/>
              </w:rPr>
              <w:t>6 - 7 min</w:t>
            </w:r>
          </w:p>
        </w:tc>
      </w:tr>
      <w:tr>
        <w:tc>
          <w:tcPr>
            <w:tcW w:type="dxa" w:w="2340"/>
            <w:shd w:fill="F8FAFC"/>
            <w:tcMar>
              <w:top w:w="100" w:type="dxa"/>
              <w:bottom w:w="100" w:type="dxa"/>
              <w:left w:w="120" w:type="dxa"/>
              <w:right w:w="120" w:type="dxa"/>
            </w:tcMar>
          </w:tcPr>
          <w:p>
            <w:r>
              <w:rPr>
                <w:color w:val="1E293B"/>
                <w:sz w:val="19"/>
              </w:rPr>
              <w:t>Yesireth Cabrera</w:t>
            </w:r>
          </w:p>
        </w:tc>
        <w:tc>
          <w:tcPr>
            <w:tcW w:type="dxa" w:w="2340"/>
            <w:shd w:fill="F8FAFC"/>
            <w:tcMar>
              <w:top w:w="100" w:type="dxa"/>
              <w:bottom w:w="100" w:type="dxa"/>
              <w:left w:w="120" w:type="dxa"/>
              <w:right w:w="120" w:type="dxa"/>
            </w:tcMar>
          </w:tcPr>
          <w:p>
            <w:r>
              <w:rPr>
                <w:color w:val="1E293B"/>
                <w:sz w:val="19"/>
              </w:rPr>
              <w:t>Tema 5 (Vulnerabilidades y Alternativas),</w:t>
              <w:br/>
              <w:t>Tema 6 (Pruebas, Rendimiento y Conclusiones)</w:t>
            </w:r>
          </w:p>
        </w:tc>
        <w:tc>
          <w:tcPr>
            <w:tcW w:type="dxa" w:w="2340"/>
            <w:shd w:fill="F8FAFC"/>
            <w:tcMar>
              <w:top w:w="100" w:type="dxa"/>
              <w:bottom w:w="100" w:type="dxa"/>
              <w:left w:w="120" w:type="dxa"/>
              <w:right w:w="120" w:type="dxa"/>
            </w:tcMar>
          </w:tcPr>
          <w:p>
            <w:r>
              <w:rPr>
                <w:color w:val="1E293B"/>
                <w:sz w:val="19"/>
              </w:rPr>
              <w:t>Seguridad OWASP, Mitigaciones, Smoke Tests e ISO 25010</w:t>
            </w:r>
          </w:p>
        </w:tc>
        <w:tc>
          <w:tcPr>
            <w:tcW w:type="dxa" w:w="2340"/>
            <w:shd w:fill="F8FAFC"/>
            <w:tcMar>
              <w:top w:w="100" w:type="dxa"/>
              <w:bottom w:w="100" w:type="dxa"/>
              <w:left w:w="120" w:type="dxa"/>
              <w:right w:w="120" w:type="dxa"/>
            </w:tcMar>
          </w:tcPr>
          <w:p>
            <w:r>
              <w:rPr>
                <w:color w:val="1E293B"/>
                <w:sz w:val="19"/>
              </w:rPr>
              <w:t>6 - 7 min</w:t>
            </w:r>
          </w:p>
        </w:tc>
      </w:tr>
    </w:tbl>
    <w:p>
      <w:pPr>
        <w:spacing w:after="240"/>
      </w:pPr>
    </w:p>
    <w:tbl>
      <w:tblPr>
        <w:tblW w:type="auto" w:w="0"/>
        <w:jc w:val="center"/>
        <w:tblLayout w:type="fixed"/>
        <w:tblLook w:firstColumn="1" w:firstRow="1" w:lastColumn="0" w:lastRow="0" w:noHBand="0" w:noVBand="1" w:val="04A0"/>
      </w:tblPr>
      <w:tblGrid>
        <w:gridCol w:w="9360"/>
      </w:tblGrid>
      <w:tr>
        <w:tc>
          <w:tcPr>
            <w:tcW w:type="dxa" w:w="9360"/>
            <w:shd w:fill="F0F9FF"/>
            <w:tcMar>
              <w:top w:w="180" w:type="dxa"/>
              <w:bottom w:w="180" w:type="dxa"/>
              <w:left w:w="240" w:type="dxa"/>
              <w:right w:w="200" w:type="dxa"/>
            </w:tcMar>
            <w:tcBorders>
              <w:top w:val="none"/>
              <w:left w:val="single" w:sz="36" w:space="0" w:color="008BD4"/>
              <w:bottom w:val="none"/>
              <w:right w:val="none"/>
            </w:tcBorders>
          </w:tcPr>
          <w:p>
            <w:pPr>
              <w:spacing w:after="80"/>
            </w:pPr>
            <w:r>
              <w:rPr>
                <w:rFonts w:ascii="Arial" w:hAnsi="Arial"/>
                <w:b/>
                <w:color w:val="0B2545"/>
                <w:sz w:val="21"/>
              </w:rPr>
              <w:t>📌 Regla de Oro Durante la Presentación</w:t>
              <w:br/>
            </w:r>
            <w:r>
              <w:rPr>
                <w:rFonts w:ascii="Arial" w:hAnsi="Arial"/>
                <w:color w:val="334155"/>
                <w:sz w:val="20"/>
              </w:rPr>
              <w:t>• Cada expositora debe hablar con tono firme, seguro y profesional, proyectando dominio técnico del código y del sistema.</w:t>
              <w:br/>
              <w:t>• No lean las diapositivas: el público ve las viñetas resumidas, pero ustedes deben decir el discurso detallado que se encuentra en este guion.</w:t>
              <w:br/>
              <w:t>• Recuerden que no hay sección de preguntas en la presentación; la defensa se fundamenta en la profundidad con que expongan sus temas.</w:t>
            </w:r>
          </w:p>
        </w:tc>
      </w:tr>
    </w:tbl>
    <w:p>
      <w:pPr>
        <w:spacing w:after="120"/>
      </w:pPr>
    </w:p>
    <w:p>
      <w:r>
        <w:br w:type="page"/>
      </w:r>
    </w:p>
    <w:p>
      <w:pPr>
        <w:pStyle w:val="Heading1"/>
      </w:pPr>
      <w:r>
        <w:t>2. Guion Detallado de Intervención Diapositiva por Diapositiva</w:t>
      </w:r>
    </w:p>
    <w:p>
      <w:pPr>
        <w:pStyle w:val="Heading2"/>
      </w:pPr>
      <w:r>
        <w:t>Diapositiva 1: Portada y Apertura Institucional</w:t>
      </w:r>
    </w:p>
    <w:p>
      <w:r>
        <w:rPr>
          <w:b/>
          <w:color w:val="008BD4"/>
        </w:rPr>
        <w:t>👤 Ponente Responsable: Yurleidis Londoño (Apertura conjunta con Nurys y Yesireth)</w:t>
      </w:r>
    </w:p>
    <w:tbl>
      <w:tblPr>
        <w:tblW w:type="auto" w:w="0"/>
        <w:jc w:val="center"/>
        <w:tblLayout w:type="fixed"/>
        <w:tblLook w:firstColumn="1" w:firstRow="1" w:lastColumn="0" w:lastRow="0" w:noHBand="0" w:noVBand="1" w:val="04A0"/>
      </w:tblPr>
      <w:tblGrid>
        <w:gridCol w:w="9360"/>
      </w:tblGrid>
      <w:tr>
        <w:tc>
          <w:tcPr>
            <w:tcW w:type="dxa" w:w="9360"/>
            <w:shd w:fill="FFFDF0"/>
            <w:tcMar>
              <w:top w:w="180" w:type="dxa"/>
              <w:bottom w:w="180" w:type="dxa"/>
              <w:left w:w="240" w:type="dxa"/>
              <w:right w:w="200" w:type="dxa"/>
            </w:tcMar>
            <w:tcBorders>
              <w:top w:val="none"/>
              <w:left w:val="single" w:sz="36" w:space="0" w:color="FFB703"/>
              <w:bottom w:val="none"/>
              <w:right w:val="none"/>
            </w:tcBorders>
          </w:tcPr>
          <w:p>
            <w:pPr>
              <w:spacing w:after="80"/>
            </w:pPr>
            <w:r>
              <w:rPr>
                <w:rFonts w:ascii="Arial" w:hAnsi="Arial"/>
                <w:b/>
                <w:color w:val="0B2545"/>
                <w:sz w:val="21"/>
              </w:rPr>
              <w:t>📌 Instrucción de Apertura</w:t>
              <w:br/>
            </w:r>
            <w:r>
              <w:rPr>
                <w:rFonts w:ascii="Arial" w:hAnsi="Arial"/>
                <w:color w:val="334155"/>
                <w:sz w:val="20"/>
              </w:rPr>
              <w:t>Ponerse de pie frente al proyector, mantener contacto visual con el instructor Anybal López y saludar cordialmente. Yurleidis toma la palabra inicial en nombre del equipo.</w:t>
            </w:r>
          </w:p>
        </w:tc>
      </w:tr>
    </w:tbl>
    <w:p>
      <w:pPr>
        <w:spacing w:after="120"/>
      </w:pPr>
    </w:p>
    <w:p>
      <w:pPr>
        <w:pStyle w:val="Heading3"/>
      </w:pPr>
      <w:r>
        <w:t>Discurso Literal Completo de Yurleidis Londoño:</w:t>
      </w:r>
    </w:p>
    <w:p>
      <w:pPr>
        <w:spacing w:after="280"/>
      </w:pPr>
      <w:r>
        <w:t>"Muy buenos días, apreciado instructor Anybal López y compañeros presentes en este panel de sustentación. El día de hoy, mis compañeras Nurys González, Yesireth Cabrera y quien les habla, Yurleidis Londoño, estudiantes del programa Tecnología en Análisis y Desarrollo de Software del Servicio Nacional de Aprendizaje SENA, Centro de Comercio y Servicios, pertenecientes a la ficha 3173430, tenemos el gran honor de presentar y defender técnicamente nuestro proyecto formativo: ACADEMIX.</w:t>
        <w:br/>
        <w:br/>
        <w:t>ACADEMIX no es simplemente un software escolar; es una plataforma integral de ingeniería de software diseñada específicamente para resolver las fallas históricas de gestión, comunicación y custodia de información en las instituciones educativas colombianas. A lo largo de esta sustentación demostraremos cómo diseñamos, desplegamos, aseguramos y auditamos un sistema robusto, modular y altamente escalable, desarrollado bajo los más exigentes estándares de la industria, garantizando cero costo de licenciamiento para los colegios y un 100% de cumplimiento de la normatividad educativa vigente. A continuación, iniciaremos exponiendo la ruta temática que guiará nuestra intervención."</w:t>
      </w:r>
    </w:p>
    <w:p>
      <w:pPr>
        <w:pStyle w:val="Heading2"/>
      </w:pPr>
      <w:r>
        <w:t>Diapositiva 2: Ruta de la Presentación (Agenda)</w:t>
      </w:r>
    </w:p>
    <w:p>
      <w:r>
        <w:rPr>
          <w:b/>
          <w:color w:val="008BD4"/>
        </w:rPr>
        <w:t>👤 Ponente Responsable: Yurleidis Londoño</w:t>
      </w:r>
    </w:p>
    <w:p>
      <w:pPr>
        <w:pStyle w:val="Heading3"/>
      </w:pPr>
      <w:r>
        <w:t>Discurso Literal Completo de Yurleidis Londoño:</w:t>
      </w:r>
    </w:p>
    <w:p>
      <w:pPr>
        <w:spacing w:after="280"/>
      </w:pPr>
      <w:r>
        <w:t>"Para llevar un hilo conductor riguroso y transparente, nuestra sustentación se estructura en seis núcleos fundamentales:</w:t>
        <w:br/>
        <w:br/>
        <w:t>• En primer lugar, abordaré el Módulo Conceptual y de Infraestructura: qué es exactamente ACADEMIX, qué problemas estructurales elimina en los colegios, qué herramientas y tecnologías componen su arquitectura y cuáles son sus entornos de despliegue.</w:t>
        <w:br/>
        <w:t>• En segundo lugar, detallaré los Pasos de Despliegue e Instalación Técnica: los requisitos mínimos de hardware y la secuencia de 5 fases para llevar el aplicativo a producción real con Nginx y Gunicorn.</w:t>
        <w:br/>
        <w:t>• En tercer lugar, mi compañera Nurys González expondrá la Política de Respaldo, Recuperación y Observabilidad: cómo garantizamos la continuidad del negocio mediante la regla 3-2-1, métricas RTO y RPO, y restauración ante desastres.</w:t>
        <w:br/>
        <w:t>• En cuarto lugar, Nurys explicará la Arquitectura de Software y Aseguramiento: el desacoplamiento del patrón MVT en 15 módulos y el control de acceso basado en roles RBAC con 6 perfiles y evaluación ciega.</w:t>
        <w:br/>
        <w:t>• En quinto lugar, mi compañera Yesireth Cabrera abordará la Gestión de Vulnerabilidades y Alternativas: cómo mitigamos los riesgos OWASP Top 10 como inyección SQL, CSRF y XSS, la trazabilidad mediante AuditLog y el cumplimiento del régimen de Habeas Data bajo la Ley 1581 de 2012.</w:t>
        <w:br/>
        <w:t>• Y finalmente, en sexto lugar, Yesireth sustentará las Pruebas de Calidad, Rendimiento de Base de Datos frente al problema N+1 y las conclusiones del proyecto bajo la norma ISO/IEC 25010."</w:t>
      </w:r>
    </w:p>
    <w:p>
      <w:pPr>
        <w:pStyle w:val="Heading2"/>
      </w:pPr>
      <w:r>
        <w:t>Diapositiva 3: Contexto Institucional: ¿Qué Mejora en los Colegios con ACADEMIX?</w:t>
      </w:r>
    </w:p>
    <w:p>
      <w:r>
        <w:rPr>
          <w:b/>
          <w:color w:val="008BD4"/>
        </w:rPr>
        <w:t>👤 Ponente Responsable: Yurleidis Londoño</w:t>
      </w:r>
    </w:p>
    <w:tbl>
      <w:tblPr>
        <w:tblW w:type="auto" w:w="0"/>
        <w:jc w:val="center"/>
        <w:tblLayout w:type="fixed"/>
        <w:tblLook w:firstColumn="1" w:firstRow="1" w:lastColumn="0" w:lastRow="0" w:noHBand="0" w:noVBand="1" w:val="04A0"/>
      </w:tblPr>
      <w:tblGrid>
        <w:gridCol w:w="9360"/>
      </w:tblGrid>
      <w:tr>
        <w:tc>
          <w:tcPr>
            <w:tcW w:type="dxa" w:w="9360"/>
            <w:shd w:fill="F0F9FF"/>
            <w:tcMar>
              <w:top w:w="180" w:type="dxa"/>
              <w:bottom w:w="180" w:type="dxa"/>
              <w:left w:w="240" w:type="dxa"/>
              <w:right w:w="200" w:type="dxa"/>
            </w:tcMar>
            <w:tcBorders>
              <w:top w:val="none"/>
              <w:left w:val="single" w:sz="36" w:space="0" w:color="008BD4"/>
              <w:bottom w:val="none"/>
              <w:right w:val="none"/>
            </w:tcBorders>
          </w:tcPr>
          <w:p>
            <w:pPr>
              <w:spacing w:after="80"/>
            </w:pPr>
            <w:r>
              <w:rPr>
                <w:rFonts w:ascii="Arial" w:hAnsi="Arial"/>
                <w:b/>
                <w:color w:val="0B2545"/>
                <w:sz w:val="21"/>
              </w:rPr>
              <w:t>📌 Punto Clave Pedagógico y Social</w:t>
              <w:br/>
            </w:r>
            <w:r>
              <w:rPr>
                <w:rFonts w:ascii="Arial" w:hAnsi="Arial"/>
                <w:color w:val="334155"/>
                <w:sz w:val="20"/>
              </w:rPr>
              <w:t>El instructor busca entender el impacto real del proyecto. Debe explicarse con mucha convicción el contraste entre el caos del papel/Excel tradicional y la solución automatizada de ACADEMIX.</w:t>
            </w:r>
          </w:p>
        </w:tc>
      </w:tr>
    </w:tbl>
    <w:p>
      <w:pPr>
        <w:spacing w:after="120"/>
      </w:pPr>
    </w:p>
    <w:p>
      <w:pPr>
        <w:pStyle w:val="Heading3"/>
      </w:pPr>
      <w:r>
        <w:t>Discurso Literal Completo de Yurleidis Londoño:</w:t>
      </w:r>
    </w:p>
    <w:p>
      <w:pPr>
        <w:spacing w:after="280"/>
      </w:pPr>
      <w:r>
        <w:t>"Antes de sumergirnos en la arquitectura de software, es imprescindible entender la realidad operativa de las instituciones educativas públicas y privadas en nuestro país y responder a la pregunta: ¿Qué pasaba antes y qué mejora concretamente ACADEMIX en los colegios?</w:t>
        <w:br/>
        <w:br/>
        <w:t>Históricamente, los colegios han dependido de planillas de papel, carpetas físicas que se deterioran con la humedad o se extravían, y múltiples archivos de Excel dispersos en computadores de docentes. Esta dispersión genera cuatro problemas críticos:</w:t>
        <w:br/>
        <w:t>1. Pérdida irreversible de información: un computador docente dañado o un libro de notas extraviado significaba rehacer calificaciones de meses enteros.</w:t>
        <w:br/>
        <w:t>2. Aislamiento y desinformación de los padres: un acudiente solo se enteraba de que su hijo iba perdiendo materias o tenía faltas de asistencia al final del periodo o semestre en la entrega de notas, cuando ya era demasiado tarde para intervenir pedagógicamente.</w:t>
        <w:br/>
        <w:t>3. Vulnerabilidad y fraude: las notas calculadas en calculadoras o Excel están expuestas a errores aritméticos, tachaduras en planillas o alteraciones malintencionadas sin dejar rastro de quién cambió la nota.</w:t>
        <w:br/>
        <w:t>4. Sobrecarga laboral extrema: directivos y docentes pasaban semanas transcribiendo notas para armar boletines a mano, descuidando su labor pedagógica.</w:t>
        <w:br/>
        <w:br/>
        <w:t>¿Qué mejora ACADEMIX? Transforma integralmente esta realidad:</w:t>
        <w:br/>
        <w:t>• Centralización Digital Inmediata: Toda la vida académica (matrículas, notas, asistencias diarias, observador disciplinario y tareas) reside en una única plataforma accesible en tiempo real.</w:t>
        <w:br/>
        <w:t>• Vinculación Activa de la Familia: Los acudientes cuentan con un portal exclusivo donde ven en tiempo real si el estudiante faltó a clase hoy, qué tareas tiene pendientes y cómo va su promedio ponderado.</w:t>
        <w:br/>
        <w:t>• Blindaje Matemático e Inalterabilidad: El cálculo de definitivas se realiza mediante algoritmos automatizados que respetan las ponderaciones oficiales del Sistema Institucional de Evaluación (SIEE) bajo el Decreto 1290 de 2009. Nadie puede alterar una nota sin que el sistema registre quién lo hizo, a qué hora y desde qué dirección IP.</w:t>
        <w:br/>
        <w:t>• Ahorro del 80% en Tiempos Administrativos: Con un solo clic, la rectoría y coordinación generan boletines oficiales en PDF, consolidados de periodo y estadísticas de reprobación en cuestión de segundos."</w:t>
      </w:r>
    </w:p>
    <w:p>
      <w:pPr>
        <w:pStyle w:val="Heading2"/>
      </w:pPr>
      <w:r>
        <w:t>Diapositiva 4: Tema 1: Qué es ACADEMIX, Stack Tecnológico y Entornos de Despliegue</w:t>
      </w:r>
    </w:p>
    <w:p>
      <w:r>
        <w:rPr>
          <w:b/>
          <w:color w:val="008BD4"/>
        </w:rPr>
        <w:t>👤 Ponente Responsable: Yurleidis Londoño</w:t>
      </w:r>
    </w:p>
    <w:p>
      <w:pPr>
        <w:pStyle w:val="Heading3"/>
      </w:pPr>
      <w:r>
        <w:t>Discurso Literal Completo de Yurleidis Londoño:</w:t>
      </w:r>
    </w:p>
    <w:p>
      <w:pPr>
        <w:spacing w:after="280"/>
      </w:pPr>
      <w:r>
        <w:t>"Entrando formalmente en el Tema 1, definimos ACADEMIX como una solución integral de software web diseñada para la administración académica, pedagógica y convivencial de colegios de educación básica y media. Su diseño modular y su construcción sobre estándares de Software Libre permiten democratizar la tecnología en colegios que no cuentan con presupuestos millonarios para licencias privativas como las de plataformas comerciales.</w:t>
        <w:br/>
        <w:br/>
        <w:t>¿Qué tecnologías se utilizan en ACADEMIX? Nuestro stack tecnológico fue seleccionado con un criterio de robustez, seguridad y rendimiento:</w:t>
        <w:br/>
        <w:t>• En la capa Backend, utilizamos Python 3.10+ y Django Web Framework. Elegimos Django porque ofrece una arquitectura MVT sólida, un ORM seguro que previene ataques de inyección de forma predeterminada y herramientas nativas para gestión de sesiones y autenticación.</w:t>
        <w:br/>
        <w:t>• En la capa de Base de Datos, implementamos PostgreSQL. PostgreSQL es el motor relacional de código abierto más avanzado del mundo, con soporte total para transacciones ACID, integridad referencial estricta y capacidad para manejar cientos de miles de registros de notas y asistencias sin degradación de rendimiento.</w:t>
        <w:br/>
        <w:t>• En la capa de Servidor de Producción, empleamos Nginx como Servidor Web y Proxy Inverso, configurado con soporte para certificados SSL/TLS, compresión Gzip y entrega optimizada de activos estáticos; complementado con Gunicorn como servidor WSGI (Web Server Gateway Interface) en modalidad multi-worker.</w:t>
        <w:br/>
        <w:t>• En el Frontend, utilizamos HTML5 semántico, CSS3 modular estructurado y JavaScript moderno, garantizando una interfaz completamente responsiva, accesible desde computadores de escritorio, portátiles, tablets y teléfonos inteligentes de padres y docentes.</w:t>
        <w:br/>
        <w:br/>
        <w:t>¿Cuáles son sus Entornos de Despliegue? ACADEMIX es completamente versátil y adaptable a dos escenarios operativos:</w:t>
        <w:br/>
        <w:t>1. Despliegue en Red Local Institucional (LAN) / Servidor Físico: Para aquellos colegios ubicados en zonas rurales o urbanas con conexión a Internet intermitente, ACADEMIX puede instalarse en un servidor local dentro del colegio. Toda la institución se conecta a través del cableado estructurado o del Wi-Fi interno sin consumir un solo kilobyte de Internet, garantizando disponibilidad del 100% durante la jornada escolar.</w:t>
        <w:br/>
        <w:t>2. Despliegue en la Nube (VPS Linux / Ubuntu Server): Para instituciones que requieren acceso global las 24 horas, el aplicativo se despliega en servidores virtuales privados en la nube (como AWS, DigitalOcean o Linode), permitiendo que los padres de familia consulten las notas desde sus casas y los docentes califiquen desde sus hogares con absoluta seguridad."</w:t>
      </w:r>
    </w:p>
    <w:p>
      <w:pPr>
        <w:pStyle w:val="Heading2"/>
      </w:pPr>
      <w:r>
        <w:t>Diapositiva 5: Tema 2: Pasos de Despliegue e Instalación Técnica</w:t>
      </w:r>
    </w:p>
    <w:p>
      <w:r>
        <w:rPr>
          <w:b/>
          <w:color w:val="008BD4"/>
        </w:rPr>
        <w:t>👤 Ponente Responsable: Yurleidis Londoño</w:t>
      </w:r>
    </w:p>
    <w:p>
      <w:pPr>
        <w:pStyle w:val="Heading3"/>
      </w:pPr>
      <w:r>
        <w:t>Discurso Literal Completo de Yurleidis Londoño:</w:t>
      </w:r>
    </w:p>
    <w:p>
      <w:pPr>
        <w:spacing w:after="280"/>
      </w:pPr>
      <w:r>
        <w:t>"Pasamos ahora al Tema 2: el procedimiento técnico de instalación y despliegue en un entorno de producción real sobre el sistema operativo Ubuntu Server 22.04 LTS, respaldado en nuestro documento técnico de despliegue.</w:t>
        <w:br/>
        <w:br/>
        <w:t>En cuanto a los Requerimientos de Hardware:</w:t>
        <w:br/>
        <w:t>• Requisitos Mínimos: Procesador de 2 núcleos x64, 2 Gigabytes de memoria RAM y 20 Gigabytes de almacenamiento en disco sólido (SSD).</w:t>
        <w:br/>
        <w:t>• Requisitos Recomendados: Servidor de 4 núcleos virtuales, 4 a 8 Gigabytes de memoria RAM y 50 Gigabytes SSD NVMe, con capacidad de soportar a más de 2,000 estudiantes y 80 docentes concurrentes registrando notas al cierre de periodo.</w:t>
        <w:br/>
        <w:br/>
        <w:t>El proceso de despliegue consta de cinco fases sistemáticas y automatizadas:</w:t>
        <w:br/>
        <w:t>• Fase 1: Acondicionamiento del Servidor y Dependencias del Sistema Operativo. Se ejecuta la actualización de repositorios con 'apt update &amp;&amp; apt upgrade -y', y se instalan los paquetes base del compilador C y librerías nativas de PostgreSQL mediante 'apt install python3-pip python3-venv python3-dev libpq-dev git nginx'.</w:t>
        <w:br/>
        <w:t>• Fase 2: Configuración del Motor de Base de Datos PostgreSQL. Accedemos a la consola de base de datos con el usuario postgres, creamos la base de datos dedicada 'academix_db' y un usuario específico 'academix_user', asignándole una contraseña criptográfica segura y concediéndole privilegios exclusivos sobre el esquema público, garantizando el aislamiento de la información.</w:t>
        <w:br/>
        <w:t>• Fase 3: Aislamiento del Entorno de Aplicación y Librerías. Clonamos el repositorio institucional de ACADEMIX, creamos un entorno virtual independiente con 'python3 -m venv venv' y procedemos a la instalación de dependencias aisladas mediante 'pip install -r requirements.txt', evitando conflictos con paquetes globales del sistema.</w:t>
        <w:br/>
        <w:t>• Fase 4: Migración del Esquema Relacional e Inicialización. Ejecutamos el comando 'python manage.py migrate', el cual aplica ordenadamente las 38 migraciones estructuradas en el código, construyendo las tablas relacionales en Tercera Forma Normal. Posteriormente, ejecutamos 'python manage.py collectstatic' para recopilar todos los archivos CSS, JavaScript e imágenes en el directorio estático centralizado, y creamos el superusuario institucional de rectoría.</w:t>
        <w:br/>
        <w:t>• Fase 5: Puesta en Producción con Gunicorn y Nginx. Creamos un archivo de servicio Systemd llamado 'academix.service', configurando Gunicorn con 3 procesos de trabajo (workers) que se comunican mediante un socket Unix local. Finalmente, configuramos Nginx como proxy inverso en '/etc/nginx/sites-available/academix', redirigiendo el tráfico del puerto 80 y 443 hacia el socket de Gunicorn y sirviendo directamente los archivos estáticos y multimedia sin sobrecargar el servidor de aplicaciones.</w:t>
        <w:br/>
        <w:br/>
        <w:t>Con esto concluyo la exposición de la infraestructura y el despliegue técnico. Le cedo la palabra a mi compañera Nurys González, quien sustentará las políticas de respaldo, recuperación ante desastres y la arquitectura de software del sistema."</w:t>
      </w:r>
    </w:p>
    <w:p>
      <w:pPr>
        <w:pStyle w:val="Heading2"/>
      </w:pPr>
      <w:r>
        <w:t>Diapositiva 6: Tema 3: Respaldo, Recuperación y Observabilidad</w:t>
      </w:r>
    </w:p>
    <w:p>
      <w:r>
        <w:rPr>
          <w:b/>
          <w:color w:val="008BD4"/>
        </w:rPr>
        <w:t>👤 Ponente Responsable: Nurys González</w:t>
      </w:r>
    </w:p>
    <w:tbl>
      <w:tblPr>
        <w:tblW w:type="auto" w:w="0"/>
        <w:jc w:val="center"/>
        <w:tblLayout w:type="fixed"/>
        <w:tblLook w:firstColumn="1" w:firstRow="1" w:lastColumn="0" w:lastRow="0" w:noHBand="0" w:noVBand="1" w:val="04A0"/>
      </w:tblPr>
      <w:tblGrid>
        <w:gridCol w:w="9360"/>
      </w:tblGrid>
      <w:tr>
        <w:tc>
          <w:tcPr>
            <w:tcW w:type="dxa" w:w="9360"/>
            <w:shd w:fill="F0FFF9"/>
            <w:tcMar>
              <w:top w:w="180" w:type="dxa"/>
              <w:bottom w:w="180" w:type="dxa"/>
              <w:left w:w="240" w:type="dxa"/>
              <w:right w:w="200" w:type="dxa"/>
            </w:tcMar>
            <w:tcBorders>
              <w:top w:val="none"/>
              <w:left w:val="single" w:sz="36" w:space="0" w:color="06D6A0"/>
              <w:bottom w:val="none"/>
              <w:right w:val="none"/>
            </w:tcBorders>
          </w:tcPr>
          <w:p>
            <w:pPr>
              <w:spacing w:after="80"/>
            </w:pPr>
            <w:r>
              <w:rPr>
                <w:rFonts w:ascii="Arial" w:hAnsi="Arial"/>
                <w:b/>
                <w:color w:val="0B2545"/>
                <w:sz w:val="21"/>
              </w:rPr>
              <w:t>📌 Transición e Inicio de Nurys González</w:t>
              <w:br/>
            </w:r>
            <w:r>
              <w:rPr>
                <w:rFonts w:ascii="Arial" w:hAnsi="Arial"/>
                <w:color w:val="334155"/>
                <w:sz w:val="20"/>
              </w:rPr>
              <w:t>Nurys saluda al jurado, agradece la entrega de Yurleidis y comienza con voz clara y técnica a explicar la política de continuidad del negocio.</w:t>
            </w:r>
          </w:p>
        </w:tc>
      </w:tr>
    </w:tbl>
    <w:p>
      <w:pPr>
        <w:spacing w:after="120"/>
      </w:pPr>
    </w:p>
    <w:p>
      <w:pPr>
        <w:pStyle w:val="Heading3"/>
      </w:pPr>
      <w:r>
        <w:t>Discurso Literal Completo de Nurys González:</w:t>
      </w:r>
    </w:p>
    <w:p>
      <w:pPr>
        <w:spacing w:after="280"/>
      </w:pPr>
      <w:r>
        <w:t>"Muchas gracias, compañera Yurleidis. Buenos días, instructor Anybal López y compañeros. Mi nombre es Nurys González y a continuación abordaré el Tema 3 de nuestra sustentación: la Estrategia de Respaldo, Recuperación ante Desastres, Migración y Observabilidad Institucional de ACADEMIX.</w:t>
        <w:br/>
        <w:br/>
        <w:t>En un sistema de gestión escolar, la pérdida de información de calificaciones o del observador del alumno acarrea consecuencias legales y disciplinarias de máxima gravedad. Por esta razón, en ACADEMIX no improvisamos con las copias de seguridad: diseñamos un plan de continuidad del negocio regido por la regla internacional 3-2-1:</w:t>
        <w:br/>
        <w:t>• 3 copias de la información institucional: la base de datos viva en producción, un respaldo local diario y una réplica externa.</w:t>
        <w:br/>
        <w:t>• 2 medios de almacenamiento diferentes: almacenamiento en disco de estado sólido local del servidor y almacenamiento externo en almacenamiento masivo seguro.</w:t>
        <w:br/>
        <w:t>• 1 copia fuera de la institución (Offsite): sincronizada hacia un servidor en la nube o NAS seguro, protegida contra incendios, robos o fallas físicas del colegio.</w:t>
        <w:br/>
        <w:br/>
        <w:t>¿Cómo se implementa este esquema de respaldos a nivel técnico?</w:t>
        <w:br/>
        <w:t>1. Respaldo Total Diario (Full Backup): Mediante una tarea programada en el crontab del sistema operativo, todas las noches a las 02:00 AM se ejecuta la herramienta nativa 'pg_dump' con compresión binaria personalizada mediante el modificador '-Fc'. Este respaldo genera un archivo cifrado que incluye el esquema completo, procedimientos almacenados y los datos tabulares de los 15 módulos.</w:t>
        <w:br/>
        <w:t>2. Respaldo de Archivos Multimedia (Carpeta media/): Las evidencias adjuntas en el módulo de tareas y los documentos probatorios del observador disciplinario se respaldan de manera incremental mediante un script con la utilidad 'rsync', transfiriendo únicamente los archivos nuevos o modificados.</w:t>
        <w:br/>
        <w:t>3. Respaldo Diferencial y Registros WAL: Para colegios de gran envergadura, se habilitan los registros Write-Ahead Logging de PostgreSQL, permitiendo recuperar transacciones puntuales generadas a lo largo de la jornada.</w:t>
        <w:br/>
        <w:br/>
        <w:t>Para medir la eficacia de esta estrategia, establecimos dos métricas de contingencia fundamentales en ingeniería de software:</w:t>
        <w:br/>
        <w:t>• RPO (Recovery Point Objective o Punto Objetivo de Recuperación): Establecido en menos de 24 horas. En el peor escenario catastrófico donde el hardware sufra una destrucción física total a la 01:59 AM, los datos perdidos jamás superarán las horas transcurridas desde el último respaldo nocturno.</w:t>
        <w:br/>
        <w:t>• RTO (Recovery Time Objective o Tiempo Objetivo de Recuperación): Establecido en menos de 2 horas. Ese es el tiempo máximo en el que el equipo técnico reinstala el sistema operativo base y ejecuta el procedimiento de restauración.</w:t>
        <w:br/>
        <w:br/>
        <w:t>¿Cómo se realiza la recuperación ante desastres? El procedimiento se encuentra documentado y validado en nuestro Manual Técnico. Utilizamos el comando 'pg_restore --clean --if-exists -d academix_db', el cual limpia las tablas existentes y reinserta la información consistente, garantizando un rollback seguro sin dejar el esquema en estado inconsistente.</w:t>
        <w:br/>
        <w:br/>
        <w:t>En cuanto a la Observabilidad del Sistema: implementamos una arquitectura de monitoreo basada en tres capas de registros:</w:t>
        <w:br/>
        <w:t>1. Logs de acceso y error de Nginx en '/var/log/nginx/', para detectar intentos de intrusión o sobrecargas HTTP.</w:t>
        <w:br/>
        <w:t>2. Logs de ejecución de Gunicorn y Systemd mediante 'journalctl -u academix.service', para vigilar excepciones de código o memoria.</w:t>
        <w:br/>
        <w:t>3. Nuestro módulo inmutable de 'AuditLog' a nivel de aplicación en Django, que guarda el historial completo de cada inserción, modificación o borrado de notas."</w:t>
      </w:r>
    </w:p>
    <w:p>
      <w:pPr>
        <w:pStyle w:val="Heading2"/>
      </w:pPr>
      <w:r>
        <w:t>Diapositiva 7: Tema 4: Arquitectura de Software y Aseguramiento</w:t>
      </w:r>
    </w:p>
    <w:p>
      <w:r>
        <w:rPr>
          <w:b/>
          <w:color w:val="008BD4"/>
        </w:rPr>
        <w:t>👤 Ponente Responsable: Nurys González</w:t>
      </w:r>
    </w:p>
    <w:p>
      <w:pPr>
        <w:pStyle w:val="Heading3"/>
      </w:pPr>
      <w:r>
        <w:t>Discurso Literal Completo de Nurys González:</w:t>
      </w:r>
    </w:p>
    <w:p>
      <w:pPr>
        <w:spacing w:after="280"/>
      </w:pPr>
      <w:r>
        <w:t>"Continuando con el Tema 4, profundizaremos en la Arquitectura de Software de ACADEMIX y sus mecanismos de Aseguramiento y Control de Acceso.</w:t>
        <w:br/>
        <w:br/>
        <w:t>ACADEMIX está edificado bajo el patrón arquitectónico MVT (Model - View - Template), que representa una especialización del clásico MVC:</w:t>
        <w:br/>
        <w:t>• Modelos (M): Constituyen la capa de abstracción de datos. En lugar de escribir SQL crudo, modelamos las entidades en clases de Python con validaciones de negocio estrictas. Por ejemplo, en el modelo Grade establecemos restricciones de rango decimal de 1.0 a 5.0 y relaciones de integridad foránea de no eliminación en cascada para proteger el historial académico.</w:t>
        <w:br/>
        <w:t>• Vistas (V): Actúan como los controladores y la lógica de negocio. Es donde interceptamos las peticiones HTTP, validamos los permisos del usuario, ejecutamos las operaciones transaccionales y preparamos el contexto de datos.</w:t>
        <w:br/>
        <w:t>• Templates (T): Es la capa de presentación desacoplada. Utiliza el motor de plantillas de Django para renderizar HTML dinámico sin mezclar código de base de datos en las vistas del usuario, garantizando legibilidad y mantenimiento futuro.</w:t>
        <w:br/>
        <w:br/>
        <w:t>A nivel de diseño modular, el sistema no es un monolito desorganizado. Está desacoplado en un ecosistema de 15 aplicaciones independientes:</w:t>
        <w:br/>
        <w:t>1. 'accounts': Manejo de usuarios, sesiones y roles.</w:t>
        <w:br/>
        <w:t>2. 'students': Matrículas, expedientes y legajos escolares.</w:t>
        <w:br/>
        <w:t>3. 'teachers': Asignación académica y carga de docentes.</w:t>
        <w:br/>
        <w:t>4. 'courses': Estructura de grados, grupos y materias.</w:t>
        <w:br/>
        <w:t>5. 'grades': Motor de calificaciones, periodos y cálculo de promedios.</w:t>
        <w:br/>
        <w:t>6. 'attendance': Registro diario de faltas, retardos y justificaciones.</w:t>
        <w:br/>
        <w:t>7. 'homework': Publicación y entrega de tareas con adjuntos.</w:t>
        <w:br/>
        <w:t>8. 'behavior': Observador disciplinario del alumno conforme a la Ley de Convivencia Escolar.</w:t>
        <w:br/>
        <w:t>9. 'communication': Sistema de mensajería interna y notificaciones entre directivos, docentes y acudientes, complementado con módulos de reportes, auditoría y configuración institucional.</w:t>
        <w:br/>
        <w:br/>
        <w:t>¿Cómo aseguramos el sistema? Mediante el modelo RBAC (Role-Based Access Control o Control de Acceso Basado en Roles). Definimos 6 roles jerárquicos independientes:</w:t>
        <w:br/>
        <w:t>1. Administrador del Sistema: Gestión de infraestructura y respaldos.</w:t>
        <w:br/>
        <w:t>2. Rector: Visión estratégica total, generación de estadísticas institucionales y cierre oficial de año lectivo.</w:t>
        <w:br/>
        <w:t>3. Coordinador Académico / Convivencial: Auditoría de planillas, aprobación de observaciones y control de horarios.</w:t>
        <w:br/>
        <w:t>4. Docente: Registro exclusivo de notas y asistencias en las asignaturas asignadas a su carga horaria.</w:t>
        <w:br/>
        <w:t>5. Estudiante: Consulta en modo de solo lectura de sus propias notas, tareas y observaciones.</w:t>
        <w:br/>
        <w:t>6. Acudiente: Supervisión integral del avance académico y convivencial de sus hijos asociados.</w:t>
        <w:br/>
        <w:br/>
        <w:t>En ACADEMIX aplicamos rigurosamente el Principio de Menor Privilegio y el Protocolo de Evaluación Ciega: un docente tiene prohibido por código acceder o modificar calificaciones de un curso que pertenezca a otro colega. Del mismo modo, un estudiante o un padre de familia jamás puede ver las calificaciones o faltas de los demás compañeros de clase, asegurando la privacidad y la convivencia pacífica.</w:t>
        <w:br/>
        <w:br/>
        <w:t>A continuación, le doy paso a mi compañera Yesireth Cabrera, quien sustentará la mitigación de vulnerabilidades, pruebas técnicas y las conclusiones finales."</w:t>
      </w:r>
    </w:p>
    <w:p>
      <w:pPr>
        <w:pStyle w:val="Heading2"/>
      </w:pPr>
      <w:r>
        <w:t>Diapositiva 8: Tema 5: Gestión de Vulnerabilidades y Alternativas de Mitigación</w:t>
      </w:r>
    </w:p>
    <w:p>
      <w:r>
        <w:rPr>
          <w:b/>
          <w:color w:val="008BD4"/>
        </w:rPr>
        <w:t>👤 Ponente Responsable: Yesireth Cabrera</w:t>
      </w:r>
    </w:p>
    <w:tbl>
      <w:tblPr>
        <w:tblW w:type="auto" w:w="0"/>
        <w:jc w:val="center"/>
        <w:tblLayout w:type="fixed"/>
        <w:tblLook w:firstColumn="1" w:firstRow="1" w:lastColumn="0" w:lastRow="0" w:noHBand="0" w:noVBand="1" w:val="04A0"/>
      </w:tblPr>
      <w:tblGrid>
        <w:gridCol w:w="9360"/>
      </w:tblGrid>
      <w:tr>
        <w:tc>
          <w:tcPr>
            <w:tcW w:type="dxa" w:w="9360"/>
            <w:shd w:fill="FFFDF0"/>
            <w:tcMar>
              <w:top w:w="180" w:type="dxa"/>
              <w:bottom w:w="180" w:type="dxa"/>
              <w:left w:w="240" w:type="dxa"/>
              <w:right w:w="200" w:type="dxa"/>
            </w:tcMar>
            <w:tcBorders>
              <w:top w:val="none"/>
              <w:left w:val="single" w:sz="36" w:space="0" w:color="FFB703"/>
              <w:bottom w:val="none"/>
              <w:right w:val="none"/>
            </w:tcBorders>
          </w:tcPr>
          <w:p>
            <w:pPr>
              <w:spacing w:after="80"/>
            </w:pPr>
            <w:r>
              <w:rPr>
                <w:rFonts w:ascii="Arial" w:hAnsi="Arial"/>
                <w:b/>
                <w:color w:val="0B2545"/>
                <w:sz w:val="21"/>
              </w:rPr>
              <w:t>📌 Transición e Inicio de Yesireth Cabrera</w:t>
              <w:br/>
            </w:r>
            <w:r>
              <w:rPr>
                <w:rFonts w:ascii="Arial" w:hAnsi="Arial"/>
                <w:color w:val="334155"/>
                <w:sz w:val="20"/>
              </w:rPr>
              <w:t>Yesireth saluda al jurado, agradece a Nurys y aborda con autoridad técnica la ciberseguridad, las mitigaciones OWASP y el marco legal colombiano.</w:t>
            </w:r>
          </w:p>
        </w:tc>
      </w:tr>
    </w:tbl>
    <w:p>
      <w:pPr>
        <w:spacing w:after="120"/>
      </w:pPr>
    </w:p>
    <w:p>
      <w:pPr>
        <w:pStyle w:val="Heading3"/>
      </w:pPr>
      <w:r>
        <w:t>Discurso Literal Completo de Yesireth Cabrera:</w:t>
      </w:r>
    </w:p>
    <w:p>
      <w:pPr>
        <w:spacing w:after="280"/>
      </w:pPr>
      <w:r>
        <w:t>"Muchas gracias, compañera Nurys. Buenos días, instructor Anybal López y compañeros. Mi nombre es Yesireth Cabrera y asumo la defensa del Tema 5: la Gestión de Vulnerabilidades, Mitigaciones OWASP Top 10, Alternativas de Trazabilidad y el Cumplimiento Legal de ACADEMIX.</w:t>
        <w:br/>
        <w:br/>
        <w:t>La seguridad en el desarrollo web moderno no puede ser un accesorio añadido al final; debe concebirse desde la primera línea de código mediante el enfoque 'Security by Design'. Al manejar datos sensibles de menores de edad, en ACADEMIX auditamos y mitigamos los riesgos críticos del estándar OWASP:</w:t>
        <w:br/>
        <w:br/>
        <w:t>1. Mitigación contra Inyección SQL (SQL Injection):</w:t>
        <w:br/>
        <w:t>La inyección SQL es una de las vulnerabilidades más destructivas. En ACADEMIX erradicamos el riesgo al 100% prohibiendo terminantemente la concatenación manual de sentencias SQL. Toda comunicación con PostgreSQL se ejecuta a través del ORM de Django, el cual utiliza consultas parametrizadas y tipadas. Esto significa que si un atacante introduce caracteres maliciosos en un campo de texto, el motor de base de datos los trata estrictamente como cadenas literales y jamás como instrucciones ejecutables.</w:t>
        <w:br/>
        <w:br/>
        <w:t>2. Mitigación contra Cross-Site Scripting (XSS):</w:t>
        <w:br/>
        <w:t>En un sistema donde los docentes redactan observaciones de convivencia y tareas, existe el riesgo de que se inyecte código JavaScript malicioso. ACADEMIX mitiga este vector mediante el motor de plantillas de Django, el cual tiene habilitado el auto-escaping por defecto. Todos los caracteres especiales como comillas o etiquetas HTML se convierten automáticamente en sus entidades seguras antes de enviarse al navegador del usuario.</w:t>
        <w:br/>
        <w:br/>
        <w:t>3. Mitigación contra Cross-Site Request Forgery (CSRF):</w:t>
        <w:br/>
        <w:t>Para evitar que un sitio externo intente falsificar peticiones en nombre de un rector o docente autenticado, todos los formularios de la plataforma incorporan de forma obligatoria el token criptográfico '{% csrf_token %}'. Este token es verificado por el middleware de seguridad en cada petición POST, PUT o DELETE. Cualquier petición que no presente un token válido es bloqueada de inmediato con un error HTTP 403 Forbidden.</w:t>
        <w:br/>
        <w:br/>
        <w:t>4. Criptografía y Gestión Segura de Credenciales:</w:t>
        <w:br/>
        <w:t>Las contraseñas de los usuarios jamás se guardan en texto claro. ACADEMIX implementa el algoritmo PBKDF2 (Password-Based Key Derivation Function 2) con hash SHA-256 y una semilla aleatoria (salt) única de 128 bits generada por cada usuario. Esto hace que sea matemáticamente inviable descifrar las contraseñas incluso mediante ataques de fuerza bruta o tablas rainbow.</w:t>
        <w:br/>
        <w:br/>
        <w:t>¿Cuáles son nuestras Alternativas de Trazabilidad y Cumplimiento Normativo?</w:t>
        <w:br/>
        <w:t>• Alternativa Implementada: Módulo 'AuditLog'. Como alternativa a las auditorías manuales, construimos un modelo que intercepta las señales del sistema. Cada vez que un docente modifica una nota o un coordinador altera una matrícula, el sistema registra de forma inmutable quién realizó la acción, su dirección IP, la fecha y hora exacta, y una copia en formato JSON del estado anterior y posterior del registro.</w:t>
        <w:br/>
        <w:t>• Cumplimiento de la Ley 1581 de 2012 (Habeas Data): El tratamiento de datos personales de niños, niñas y adolescentes en Colombia exige un estándar reforzado. ACADEMIX implementa políticas de consentimiento informado en la matrícula, aislamiento de registros médicos y prohibición de divulgación de datos privados a terceros."</w:t>
      </w:r>
    </w:p>
    <w:p>
      <w:pPr>
        <w:pStyle w:val="Heading2"/>
      </w:pPr>
      <w:r>
        <w:t>Diapositiva 9: Tema 6: Pruebas de Calidad, Rendimiento y Conclusiones del Proyecto</w:t>
      </w:r>
    </w:p>
    <w:p>
      <w:r>
        <w:rPr>
          <w:b/>
          <w:color w:val="008BD4"/>
        </w:rPr>
        <w:t>👤 Ponente Responsable: Yesireth Cabrera</w:t>
      </w:r>
    </w:p>
    <w:p>
      <w:pPr>
        <w:pStyle w:val="Heading3"/>
      </w:pPr>
      <w:r>
        <w:t>Discurso Literal Completo de Yesireth Cabrera:</w:t>
      </w:r>
    </w:p>
    <w:p>
      <w:pPr>
        <w:spacing w:after="280"/>
      </w:pPr>
      <w:r>
        <w:t>"Para finalizar con el núcleo temático, presento el Tema 6: Pruebas de Software, Optimización de Rendimiento en Base de Datos y las Conclusiones Finales de nuestro proyecto.</w:t>
        <w:br/>
        <w:br/>
        <w:t>En cuanto al Plan de Pruebas de Calidad:</w:t>
        <w:br/>
        <w:t>• Pruebas Unitarias de Lógica de Negocio: Validamos mediante 'Django TestCase' que el algoritmo de cálculo de definitivas respete estrictamente los porcentajes asignados a cada periodo y que ninguna nota pueda ser guardada por fuera del rango de 1.0 a 5.0.</w:t>
        <w:br/>
        <w:t>• Pruebas de Humo (Smoke Tests) Automatizadas: Desarrollamos una suite de pruebas que simula la navegación y verifica que todas las rutas clave (login, dashboard institucional, planilla de notas, boletines PDF y observador) respondan con código HTTP 200 OK y tiempos de carga inferiores a 300 milisegundos.</w:t>
        <w:br/>
        <w:t>• Pruebas de Permisos Cruzados: Validamos que un usuario con rol Estudiante que intente forzar una URL administrativa reciba un bloqueo automático HTTP 403.</w:t>
        <w:br/>
        <w:br/>
        <w:t>En cuanto a la Optimización de Rendimiento y Base de Datos:</w:t>
        <w:br/>
        <w:t>Uno de los mayores desafíos en sistemas de información es el problema de las 'N+1 consultas SQL'. Si una vista lista 40 estudiantes y consulta sus notas una por una, el servidor ejecuta 41 consultas a la base de datos, colapsando el servidor ante múltiples usuarios. En ACADEMIX optimizamos todas las consultas del sistema utilizando 'select_related' para relaciones de clave foránea y 'prefetch_related' para relaciones de muchos a muchos. Gracias a esta técnica, redujimos las consultas de más de 120 llamadas a únicamente 3 consultas SQL optimizadas, logrando una aceleración del 85% en la carga de planillas de calificaciones.</w:t>
        <w:br/>
        <w:t>Asimismo, implementamos Transacciones Atómicas con 'transaction.atomic()' en los procesos masivos de notas y matrículas. Si durante el guardado de 40 estudiantes ocurre una falla eléctrica en la nota número 39, el sistema ejecuta un rollback automático, evitando que la base de datos quede con registros corruptos o a medio guardar.</w:t>
        <w:br/>
        <w:br/>
        <w:t>Métricas de Calidad bajo la Norma ISO/IEC 25010 y Conclusiones Generales:</w:t>
        <w:br/>
        <w:t>1. Adecuación Funcional y Completitud: Desarrollamos e integramos con éxito 15 módulos especializados, soportados en 38 migraciones ordenadas y validadas en PostgreSQL.</w:t>
        <w:br/>
        <w:t>2. Fiabilidad y Seguridad: El sistema cuenta con 0 vulnerabilidades críticas, copias de seguridad automatizadas bajo la regla 3-2-1 y tiempos de recuperación RTO inferiores a 2 horas.</w:t>
        <w:br/>
        <w:t>3. Usabilidad y Eficiencia: Una plataforma intuitiva, responsiva y veloz que reduce en un 80% la carga administrativa de los colegios.</w:t>
        <w:br/>
        <w:t>4. Soberanía Tecnológica y Sostenibilidad Económica: ACADEMIX fue construido 100% sobre tecnologías de código abierto, con un costo de licencias de $0 pesos colombianos, haciendo técnica y financieramente viable su implementación inmediata en cualquier institución educativa de nuestro país."</w:t>
      </w:r>
    </w:p>
    <w:p>
      <w:pPr>
        <w:pStyle w:val="Heading2"/>
      </w:pPr>
      <w:r>
        <w:t>Diapositiva 10: Cierre Institucional y Despedida Conjunta</w:t>
      </w:r>
    </w:p>
    <w:p>
      <w:r>
        <w:rPr>
          <w:b/>
          <w:color w:val="008BD4"/>
        </w:rPr>
        <w:t>👤 Ponente Responsable: Yesireth Cabrera (Cierre en nombre de Yurleidis, Nurys y Yesireth)</w:t>
      </w:r>
    </w:p>
    <w:p>
      <w:pPr>
        <w:pStyle w:val="Heading3"/>
      </w:pPr>
      <w:r>
        <w:t>Discurso Literal Completo de Cierre:</w:t>
      </w:r>
    </w:p>
    <w:p>
      <w:pPr>
        <w:spacing w:after="400"/>
      </w:pPr>
      <w:r>
        <w:t>"Con esto llegamos al final de nuestra sustentación. Agradecemos profundamente a Dios, al Servicio Nacional de Aprendizaje SENA, a nuestro instructor Anybal López por su invaluable guía y exigencia académica a lo largo de este proceso formativo, y a cada uno de ustedes por su valiosa atención. Yurleidis Londoño, Nurys González y Yesireth Cabrera agradecemos la oportunidad de demostrar cómo desde el SENA creamos soluciones tecnológicas reales, seguras y transformadoras para la educación de nuestro país. ¡Muchas gracias!"</w:t>
      </w:r>
    </w:p>
    <w:p>
      <w:r>
        <w:br w:type="page"/>
      </w:r>
    </w:p>
    <w:p>
      <w:pPr>
        <w:pStyle w:val="Heading1"/>
      </w:pPr>
      <w:r>
        <w:t>3. Compendio y Resumen Ejecutivo de la Documentación Oficial de ACADEMIX</w:t>
      </w:r>
    </w:p>
    <w:p>
      <w:pPr>
        <w:spacing w:after="240"/>
      </w:pPr>
      <w:r>
        <w:t>Para respaldo de la sustentación, a continuación se presenta el resumen técnico y funcional de cada uno de los manuales, guías y documentos técnicos que forman parte integral del repositorio oficial del proyecto ACADEMIX. Este compendio permite a las sustentantes responder cualquier cuestionamiento específico del jurado respecto al código o los procedimientos operativos.</w:t>
      </w:r>
    </w:p>
    <w:p>
      <w:pPr>
        <w:spacing w:after="120"/>
      </w:pPr>
      <w:r>
        <w:rPr>
          <w:b/>
          <w:color w:val="0D1B2A"/>
          <w:sz w:val="22"/>
        </w:rPr>
        <w:t>📄 MANUAL_TECNICO.md - Manual Técnico de Arquitectura y Configuración</w:t>
        <w:br/>
      </w:r>
      <w:r>
        <w:rPr>
          <w:color w:val="1E293B"/>
          <w:sz w:val="20"/>
        </w:rPr>
        <w:t>Documenta exhaustivamente la arquitectura MVT, el diccionario relacional de base de datos en PostgreSQL, las relaciones de clave foránea en Tercera Forma Normal (3FN), el protocolo de conexión WSGI entre Nginx y Gunicorn, y el mapa de dependencias de las 15 aplicaciones.</w:t>
      </w:r>
    </w:p>
    <w:p>
      <w:pPr>
        <w:spacing w:after="120"/>
      </w:pPr>
      <w:r>
        <w:rPr>
          <w:b/>
          <w:color w:val="0D1B2A"/>
          <w:sz w:val="22"/>
        </w:rPr>
        <w:t>📄 MANUAL_USUARIO.md - Manual de Usuario Final por Perfiles</w:t>
        <w:br/>
      </w:r>
      <w:r>
        <w:rPr>
          <w:color w:val="1E293B"/>
          <w:sz w:val="20"/>
        </w:rPr>
        <w:t>Guía pedagógica ilustrada que describe la navegación paso a paso para cada uno de los 6 roles institucionales. Explica el proceso de ingreso, digitación de notas, registro de asistencia con un clic, consulta de tareas y observador de convivencia.</w:t>
      </w:r>
    </w:p>
    <w:p>
      <w:pPr>
        <w:spacing w:after="120"/>
      </w:pPr>
      <w:r>
        <w:rPr>
          <w:b/>
          <w:color w:val="0D1B2A"/>
          <w:sz w:val="22"/>
        </w:rPr>
        <w:t>📄 MANUAL_CREACION_USUARIOS_Y_ROLES.md - Manual de Gestión de Usuarios y Permisos RBAC</w:t>
        <w:br/>
      </w:r>
      <w:r>
        <w:rPr>
          <w:color w:val="1E293B"/>
          <w:sz w:val="20"/>
        </w:rPr>
        <w:t>Protocolo estricto para administradores sobre cómo aprovisionar usuarios, asignar grupos de seguridad en Django, asociar estudiantes con sus respectivos acudientes mediante identificador único y gestionar el restablecimiento seguro de contraseñas.</w:t>
      </w:r>
    </w:p>
    <w:p>
      <w:pPr>
        <w:spacing w:after="120"/>
      </w:pPr>
      <w:r>
        <w:rPr>
          <w:b/>
          <w:color w:val="0D1B2A"/>
          <w:sz w:val="22"/>
        </w:rPr>
        <w:t>📄 MANUAL_DE_ENTREGA_CLIENTE.md - Manual de Entrega Formal al Cliente y SLA</w:t>
        <w:br/>
      </w:r>
      <w:r>
        <w:rPr>
          <w:color w:val="1E293B"/>
          <w:sz w:val="20"/>
        </w:rPr>
        <w:t>Acta contractual de entrega técnica del software. Define los Acuerdos de Nivel de Servicio (SLA) con disponibilidad garantizada del 99.5%, cronograma de mantenimiento preventivo, política de garantías de código y protocolo de soporte institucional.</w:t>
      </w:r>
    </w:p>
    <w:p>
      <w:pPr>
        <w:spacing w:after="120"/>
      </w:pPr>
      <w:r>
        <w:rPr>
          <w:b/>
          <w:color w:val="0D1B2A"/>
          <w:sz w:val="22"/>
        </w:rPr>
        <w:t>📄 MANUAL_DE_NAVEGACION_PASO_A_PASO.md - Manual de Rutas y Flujos Operativos</w:t>
        <w:br/>
      </w:r>
      <w:r>
        <w:rPr>
          <w:color w:val="1E293B"/>
          <w:sz w:val="20"/>
        </w:rPr>
        <w:t>Desglose interactivo de los flujos de trabajo más comunes: flujo de matrícula anual, flujo de cierre de periodo académico, flujo de reporte disciplinario en el observador y emisión masiva de boletines PDF.</w:t>
      </w:r>
    </w:p>
    <w:p>
      <w:pPr>
        <w:spacing w:after="120"/>
      </w:pPr>
      <w:r>
        <w:rPr>
          <w:b/>
          <w:color w:val="0D1B2A"/>
          <w:sz w:val="22"/>
        </w:rPr>
        <w:t>📄 DOCUMENTO_TECNICO_APA7_SENA.md - Documento Maestro de Ingeniería bajo Norma APA 7</w:t>
        <w:br/>
      </w:r>
      <w:r>
        <w:rPr>
          <w:color w:val="1E293B"/>
          <w:sz w:val="20"/>
        </w:rPr>
        <w:t>Documento formal de titulación que compila la formulación del problema, marco teórico, justificación social, requerimientos funcionales y no funcionales bajo estándar IEEE 830, análisis de costos CAPEX/OPEX y normatividad educativa colombiana.</w:t>
      </w:r>
    </w:p>
    <w:p>
      <w:pPr>
        <w:spacing w:after="120"/>
      </w:pPr>
      <w:r>
        <w:rPr>
          <w:b/>
          <w:color w:val="0D1B2A"/>
          <w:sz w:val="22"/>
        </w:rPr>
        <w:t>📄 GUIA_AUDITORIA_CRUZADA_ACCESO_Y_ROLES.md - Guía de Auditoría Cruzada y Seguridad</w:t>
        <w:br/>
      </w:r>
      <w:r>
        <w:rPr>
          <w:color w:val="1E293B"/>
          <w:sz w:val="20"/>
        </w:rPr>
        <w:t>Matriz de control de acceso que verifica que ningún perfil pueda escalar privilegios indebidamente. Detalla las pruebas de evaluación ciega donde se constató el aislamiento de datos entre docentes y la imposibilidad de acceso a notas ajenas.</w:t>
      </w:r>
    </w:p>
    <w:p>
      <w:pPr>
        <w:spacing w:after="120"/>
      </w:pPr>
      <w:r>
        <w:rPr>
          <w:b/>
          <w:color w:val="0D1B2A"/>
          <w:sz w:val="22"/>
        </w:rPr>
        <w:t>📄 DOCUMENTACION_TECNICA_Y_GUIA_DESPLIEGUE_VIRTUALBOX.md - Guía de Despliegue en Servidores y VirtualBox</w:t>
        <w:br/>
      </w:r>
      <w:r>
        <w:rPr>
          <w:color w:val="1E293B"/>
          <w:sz w:val="20"/>
        </w:rPr>
        <w:t>Instructivo de despliegue paso a paso en máquinas virtuales y servidores físicos con Ubuntu Server. Incluye scripts de configuración de Nginx, servicios de Systemd, variables de entorno protegidas y comandos de respaldo en crontab.</w:t>
      </w:r>
    </w:p>
    <w:p>
      <w:pPr>
        <w:spacing w:after="120"/>
      </w:pPr>
      <w:r>
        <w:rPr>
          <w:b/>
          <w:color w:val="0D1B2A"/>
          <w:sz w:val="22"/>
        </w:rPr>
        <w:t>📄 INFORME_ADMINISTRATIVO_ACADEMIX.md - Informe de Gestión Administrativa e Infraestructura</w:t>
        <w:br/>
      </w:r>
      <w:r>
        <w:rPr>
          <w:color w:val="1E293B"/>
          <w:sz w:val="20"/>
        </w:rPr>
        <w:t>Detalla el análisis de viabilidad, inventario de hardware y software, dimensionamiento de ancho de banda para red LAN y Wi-Fi, y cálculo de costos de mantenimiento preventivo y correctivo.</w:t>
      </w:r>
    </w:p>
    <w:p>
      <w:pPr>
        <w:spacing w:after="120"/>
      </w:pPr>
      <w:r>
        <w:rPr>
          <w:b/>
          <w:color w:val="0D1B2A"/>
          <w:sz w:val="22"/>
        </w:rPr>
        <w:t>📄 PLAN_DE_TRABAJO_ACADEMIX.md - Plan de Trabajo y Metodología Scrum</w:t>
        <w:br/>
      </w:r>
      <w:r>
        <w:rPr>
          <w:color w:val="1E293B"/>
          <w:sz w:val="20"/>
        </w:rPr>
        <w:t>Cronograma de ejecución del proyecto desarrollado en 5 sprints iterativos. Define el Product Backlog, las historias de usuario y los criterios de aceptación que guiaron la construcción de los 15 módulos del sistema.</w:t>
      </w:r>
    </w:p>
    <w:p>
      <w:r>
        <w:br w:type="page"/>
      </w:r>
    </w:p>
    <w:p>
      <w:pPr>
        <w:pStyle w:val="Heading1"/>
      </w:pPr>
      <w:r>
        <w:t>4. Matriz Rápida de Defensa Técnica ante el Jurado</w:t>
      </w:r>
    </w:p>
    <w:p>
      <w:pPr>
        <w:spacing w:after="200"/>
      </w:pPr>
      <w:r>
        <w:t>Si durante la sustentación el instructor Anybal López realiza alguna observación técnica puntual, cada integrante debe responder con base en los siguientes argumentos clave de su área de responsabilidad:</w:t>
      </w:r>
    </w:p>
    <w:tbl>
      <w:tblPr>
        <w:tblW w:type="auto" w:w="0"/>
        <w:jc w:val="center"/>
        <w:tblLayout w:type="fixed"/>
        <w:tblLook w:firstColumn="1" w:firstRow="1" w:lastColumn="0" w:lastRow="0" w:noHBand="0" w:noVBand="1" w:val="04A0"/>
      </w:tblPr>
      <w:tblGrid>
        <w:gridCol w:w="2160"/>
        <w:gridCol w:w="3168"/>
        <w:gridCol w:w="4032"/>
      </w:tblGrid>
      <w:tr>
        <w:tc>
          <w:tcPr>
            <w:tcW w:type="dxa" w:w="3120"/>
            <w:shd w:fill="0D1B2A"/>
            <w:tcMar>
              <w:top w:w="120" w:type="dxa"/>
              <w:bottom w:w="120" w:type="dxa"/>
              <w:left w:w="120" w:type="dxa"/>
              <w:right w:w="120" w:type="dxa"/>
            </w:tcMar>
          </w:tcPr>
          <w:p>
            <w:r>
              <w:rPr>
                <w:b/>
                <w:color w:val="FFFFFF"/>
                <w:sz w:val="19"/>
              </w:rPr>
              <w:t>Integrante</w:t>
            </w:r>
          </w:p>
        </w:tc>
        <w:tc>
          <w:tcPr>
            <w:tcW w:type="dxa" w:w="3120"/>
            <w:shd w:fill="0D1B2A"/>
            <w:tcMar>
              <w:top w:w="120" w:type="dxa"/>
              <w:bottom w:w="120" w:type="dxa"/>
              <w:left w:w="120" w:type="dxa"/>
              <w:right w:w="120" w:type="dxa"/>
            </w:tcMar>
          </w:tcPr>
          <w:p>
            <w:r>
              <w:rPr>
                <w:b/>
                <w:color w:val="FFFFFF"/>
                <w:sz w:val="19"/>
              </w:rPr>
              <w:t>Tema de Especialidad</w:t>
            </w:r>
          </w:p>
        </w:tc>
        <w:tc>
          <w:tcPr>
            <w:tcW w:type="dxa" w:w="3120"/>
            <w:shd w:fill="0D1B2A"/>
            <w:tcMar>
              <w:top w:w="120" w:type="dxa"/>
              <w:bottom w:w="120" w:type="dxa"/>
              <w:left w:w="120" w:type="dxa"/>
              <w:right w:w="120" w:type="dxa"/>
            </w:tcMar>
          </w:tcPr>
          <w:p>
            <w:r>
              <w:rPr>
                <w:b/>
                <w:color w:val="FFFFFF"/>
                <w:sz w:val="19"/>
              </w:rPr>
              <w:t>Argumento Técnico de Defensa Clave</w:t>
            </w:r>
          </w:p>
        </w:tc>
      </w:tr>
      <w:tr>
        <w:tc>
          <w:tcPr>
            <w:tcW w:type="dxa" w:w="3120"/>
            <w:shd w:fill="F8FAFC"/>
            <w:tcMar>
              <w:top w:w="100" w:type="dxa"/>
              <w:bottom w:w="100" w:type="dxa"/>
              <w:left w:w="120" w:type="dxa"/>
              <w:right w:w="120" w:type="dxa"/>
            </w:tcMar>
          </w:tcPr>
          <w:p>
            <w:r>
              <w:rPr>
                <w:color w:val="1E293B"/>
                <w:sz w:val="19"/>
              </w:rPr>
              <w:t>Yurleidis Londoño</w:t>
            </w:r>
          </w:p>
        </w:tc>
        <w:tc>
          <w:tcPr>
            <w:tcW w:type="dxa" w:w="3120"/>
            <w:shd w:fill="F8FAFC"/>
            <w:tcMar>
              <w:top w:w="100" w:type="dxa"/>
              <w:bottom w:w="100" w:type="dxa"/>
              <w:left w:w="120" w:type="dxa"/>
              <w:right w:w="120" w:type="dxa"/>
            </w:tcMar>
          </w:tcPr>
          <w:p>
            <w:r>
              <w:rPr>
                <w:color w:val="1E293B"/>
                <w:sz w:val="19"/>
              </w:rPr>
              <w:t>Despliegue, Infraestructura y Stack Tecnológico</w:t>
            </w:r>
          </w:p>
        </w:tc>
        <w:tc>
          <w:tcPr>
            <w:tcW w:type="dxa" w:w="3120"/>
            <w:shd w:fill="F8FAFC"/>
            <w:tcMar>
              <w:top w:w="100" w:type="dxa"/>
              <w:bottom w:w="100" w:type="dxa"/>
              <w:left w:w="120" w:type="dxa"/>
              <w:right w:w="120" w:type="dxa"/>
            </w:tcMar>
          </w:tcPr>
          <w:p>
            <w:r>
              <w:rPr>
                <w:color w:val="1E293B"/>
                <w:sz w:val="19"/>
              </w:rPr>
              <w:t>• Por qué Nginx + Gunicorn: Nginx maneja conexiones concurrentes asíncronas y sirve estáticos velozmente; Gunicorn ejecuta los workers WSGI de Python.</w:t>
              <w:br/>
              <w:t>• Por qué PostgreSQL y no SQLite: SQLite bloquea la base completa al escribir; PostgreSQL soporta cientos de docentes guardando notas en simultáneo sin bloqueos.</w:t>
            </w:r>
          </w:p>
        </w:tc>
      </w:tr>
      <w:tr>
        <w:tc>
          <w:tcPr>
            <w:tcW w:type="dxa" w:w="3120"/>
            <w:shd w:fill="FFFFFF"/>
            <w:tcMar>
              <w:top w:w="100" w:type="dxa"/>
              <w:bottom w:w="100" w:type="dxa"/>
              <w:left w:w="120" w:type="dxa"/>
              <w:right w:w="120" w:type="dxa"/>
            </w:tcMar>
          </w:tcPr>
          <w:p>
            <w:r>
              <w:rPr>
                <w:color w:val="1E293B"/>
                <w:sz w:val="19"/>
              </w:rPr>
              <w:t>Nurys González</w:t>
            </w:r>
          </w:p>
        </w:tc>
        <w:tc>
          <w:tcPr>
            <w:tcW w:type="dxa" w:w="3120"/>
            <w:shd w:fill="FFFFFF"/>
            <w:tcMar>
              <w:top w:w="100" w:type="dxa"/>
              <w:bottom w:w="100" w:type="dxa"/>
              <w:left w:w="120" w:type="dxa"/>
              <w:right w:w="120" w:type="dxa"/>
            </w:tcMar>
          </w:tcPr>
          <w:p>
            <w:r>
              <w:rPr>
                <w:color w:val="1E293B"/>
                <w:sz w:val="19"/>
              </w:rPr>
              <w:t>Respaldos, RTO/RPO, Arquitectura MVT y RBAC</w:t>
            </w:r>
          </w:p>
        </w:tc>
        <w:tc>
          <w:tcPr>
            <w:tcW w:type="dxa" w:w="3120"/>
            <w:shd w:fill="FFFFFF"/>
            <w:tcMar>
              <w:top w:w="100" w:type="dxa"/>
              <w:bottom w:w="100" w:type="dxa"/>
              <w:left w:w="120" w:type="dxa"/>
              <w:right w:w="120" w:type="dxa"/>
            </w:tcMar>
          </w:tcPr>
          <w:p>
            <w:r>
              <w:rPr>
                <w:color w:val="1E293B"/>
                <w:sz w:val="19"/>
              </w:rPr>
              <w:t>• Respaldo con pg_dump -Fc: Genera un dump binario comprimido que permite restaurar tablas específicas y reconstruir el esquema en minutos.</w:t>
              <w:br/>
              <w:t>• Por qué 15 módulos en MVT: Facilita el mantenimiento desacoplado; si modificamos 'homework', no afectamos el módulo crítico de 'grades'.</w:t>
            </w:r>
          </w:p>
        </w:tc>
      </w:tr>
      <w:tr>
        <w:tc>
          <w:tcPr>
            <w:tcW w:type="dxa" w:w="3120"/>
            <w:shd w:fill="F8FAFC"/>
            <w:tcMar>
              <w:top w:w="100" w:type="dxa"/>
              <w:bottom w:w="100" w:type="dxa"/>
              <w:left w:w="120" w:type="dxa"/>
              <w:right w:w="120" w:type="dxa"/>
            </w:tcMar>
          </w:tcPr>
          <w:p>
            <w:r>
              <w:rPr>
                <w:color w:val="1E293B"/>
                <w:sz w:val="19"/>
              </w:rPr>
              <w:t>Yesireth Cabrera</w:t>
            </w:r>
          </w:p>
        </w:tc>
        <w:tc>
          <w:tcPr>
            <w:tcW w:type="dxa" w:w="3120"/>
            <w:shd w:fill="F8FAFC"/>
            <w:tcMar>
              <w:top w:w="100" w:type="dxa"/>
              <w:bottom w:w="100" w:type="dxa"/>
              <w:left w:w="120" w:type="dxa"/>
              <w:right w:w="120" w:type="dxa"/>
            </w:tcMar>
          </w:tcPr>
          <w:p>
            <w:r>
              <w:rPr>
                <w:color w:val="1E293B"/>
                <w:sz w:val="19"/>
              </w:rPr>
              <w:t>Seguridad OWASP, Pruebas y Rendimiento de Base de Datos</w:t>
            </w:r>
          </w:p>
        </w:tc>
        <w:tc>
          <w:tcPr>
            <w:tcW w:type="dxa" w:w="3120"/>
            <w:shd w:fill="F8FAFC"/>
            <w:tcMar>
              <w:top w:w="100" w:type="dxa"/>
              <w:bottom w:w="100" w:type="dxa"/>
              <w:left w:w="120" w:type="dxa"/>
              <w:right w:w="120" w:type="dxa"/>
            </w:tcMar>
          </w:tcPr>
          <w:p>
            <w:r>
              <w:rPr>
                <w:color w:val="1E293B"/>
                <w:sz w:val="19"/>
              </w:rPr>
              <w:t>• Cómo se evitó SQL Injection: Cero SQL raw concatenado; uso exclusivo del ORM de Django con sentencias preparadas y parametrizadas.</w:t>
              <w:br/>
              <w:t>• Cómo se solucionó el N+1: Aplicación de select_related (OneToOne/ForeignKey) y prefetch_related (ManyToMany), pasando de 120 queries a 3 queries por vista.</w:t>
            </w:r>
          </w:p>
        </w:tc>
      </w:tr>
    </w:tbl>
    <w:sectPr w:rsidR="00FC693F" w:rsidRPr="0006063C" w:rsidSect="00034616">
      <w:footerReference w:type="default" r:id="rId9"/>
      <w:head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8C96A5"/>
        <w:sz w:val="17"/>
      </w:rPr>
      <w:t>ACADEMIX • Guion Oficial de Sustentación | Ficha 3173430 SENA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color w:val="8C96A5"/>
        <w:sz w:val="17"/>
      </w:rPr>
      <w:t>CENTRO DE COMERCIO Y SERVICIOS - SENA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D1B2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