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Times New Roman" w:hAnsi="Times New Roman"/>
          <w:b/>
          <w:sz w:val="40"/>
        </w:rPr>
        <w:t>3. ARA RAPOR — UYGULAMA</w:t>
      </w:r>
    </w:p>
    <w:p>
      <w:pPr>
        <w:pStyle w:val="Heading1"/>
        <w:spacing w:before="360" w:after="180"/>
      </w:pPr>
      <w:r>
        <w:t>KAPAK</w:t>
      </w:r>
    </w:p>
    <w:p>
      <w:pPr>
        <w:spacing w:before="80" w:after="140"/>
        <w:jc w:val="both"/>
      </w:pPr>
      <w:r>
        <w:rPr>
          <w:b/>
        </w:rPr>
        <w:t>Proje adı:</w:t>
      </w:r>
      <w:r>
        <w:t xml:space="preserve"> Alzheimer Hastalığının Erken Teşhisi İçin 3B Derin Öğrenme Tabanlı Karar Destek Sistemi </w:t>
      </w:r>
      <w:r>
        <w:rPr>
          <w:b/>
        </w:rPr>
        <w:t>Ders:</w:t>
      </w:r>
      <w:r>
        <w:t xml:space="preserve"> BSM 401 — Tasarım Projesi </w:t>
      </w:r>
      <w:r>
        <w:rPr>
          <w:b/>
        </w:rPr>
        <w:t>Bölüm:</w:t>
      </w:r>
      <w:r>
        <w:t xml:space="preserve"> Sakarya Üniversitesi, Bilgisayar Mühendisliği </w:t>
      </w:r>
      <w:r>
        <w:rPr>
          <w:b/>
        </w:rPr>
        <w:t>Grup üyeleri:</w:t>
      </w:r>
    </w:p>
    <w:p>
      <w:pPr>
        <w:pStyle w:val="ListBullet"/>
        <w:spacing w:before="40" w:after="40"/>
      </w:pPr>
      <w:r>
        <w:t>Baran Yeşilyurt — ortak altyapı, P01 (VoxCNN / VoxResNet), P02 (MedicalNet ResNet-18), dağıtım zinciri</w:t>
      </w:r>
    </w:p>
    <w:p>
      <w:pPr>
        <w:pStyle w:val="ListBullet"/>
        <w:spacing w:before="40" w:after="40"/>
      </w:pPr>
      <w:r>
        <w:t>Ahmet Görkem Yavuz (G231210032) — P06 (CNN + LRP), P07 (ResAttNet), gereksinim analizi, arayüz tasarımı</w:t>
      </w:r>
    </w:p>
    <w:p>
      <w:pPr>
        <w:pStyle w:val="ListBullet"/>
        <w:spacing w:before="40" w:after="40"/>
      </w:pPr>
      <w:r>
        <w:t>Ertuğrul Kabaoğlu (G231210376) — P11 (FCN-yama), P12 (DenseNet121), mimari ve akış diyagramları</w:t>
      </w:r>
    </w:p>
    <w:p>
      <w:pPr>
        <w:spacing w:before="80" w:after="140"/>
        <w:jc w:val="both"/>
      </w:pPr>
      <w:r>
        <w:rPr>
          <w:b/>
        </w:rPr>
        <w:t>Depo:</w:t>
      </w:r>
      <w:r>
        <w:t xml:space="preserve"> https://github.com/YesilBaraN/tasarim-alzheimer </w:t>
      </w:r>
      <w:r>
        <w:rPr>
          <w:b/>
        </w:rPr>
        <w:t>Rapor tarihi:</w:t>
      </w:r>
      <w:r>
        <w:t xml:space="preserve"> 25 Ekim 2026</w:t>
      </w:r>
    </w:p>
    <w:p>
      <w:pPr>
        <w:spacing w:before="120" w:after="160"/>
        <w:pBdr>
          <w:bottom w:val="single" w:sz="6" w:space="1" w:color="AAB6C0"/>
        </w:pBdr>
      </w:pPr>
    </w:p>
    <w:p>
      <w:r>
        <w:br w:type="page"/>
      </w:r>
    </w:p>
    <w:p>
      <w:pPr>
        <w:pStyle w:val="Heading1"/>
      </w:pPr>
      <w:r>
        <w:t>İÇİNDEKİLER</w:t>
      </w:r>
    </w:p>
    <w:p>
      <w:r>
        <w:fldChar w:fldCharType="begin"/>
        <w:instrText xml:space="preserve">TOC \o "1-2" \h \z \u</w:instrText>
        <w:fldChar w:fldCharType="separate"/>
        <w:t>Güncellemek için: alanı seçip F9</w:t>
        <w:fldChar w:fldCharType="end"/>
      </w:r>
    </w:p>
    <w:p>
      <w:r>
        <w:br w:type="page"/>
      </w:r>
    </w:p>
    <w:p>
      <w:pPr>
        <w:pStyle w:val="Heading1"/>
        <w:spacing w:before="360" w:after="180"/>
      </w:pPr>
      <w:r>
        <w:t>1. GİRİŞ — İkinci ara rapordan bu yana ne yaptık</w:t>
      </w:r>
    </w:p>
    <w:p>
      <w:pPr>
        <w:spacing w:before="80" w:after="140"/>
        <w:jc w:val="both"/>
      </w:pPr>
      <w:r>
        <w:t xml:space="preserve">İkinci ara raporda literatürü taramış, gereksinimleri çıkarmış ve sistemi tasarlamıştık. Bu raporun konusu </w:t>
      </w:r>
      <w:r>
        <w:rPr>
          <w:b/>
        </w:rPr>
        <w:t>tasarladığımız sistemin gerçekleştirilmesi</w:t>
      </w:r>
      <w:r>
        <w:t>: altı mimariyi kodladık, ortak bir eğitim altyapısı kurduk, gerçek MRI verisi bulup indirdik, uçtan uca ön işleme hattını çalıştırdık ve modelleri aynı veri üzerinde aynı protokolle karşılaştırmaya başladık.</w:t>
      </w:r>
    </w:p>
    <w:p>
      <w:pPr>
        <w:spacing w:before="80" w:after="140"/>
        <w:jc w:val="both"/>
      </w:pPr>
      <w:r>
        <w:t xml:space="preserve">Projenin özgün katkısı tek bir model eğitmek değil — literatürdeki altı farklı 3B mimariyi </w:t>
      </w:r>
      <w:r>
        <w:rPr>
          <w:b/>
        </w:rPr>
        <w:t>aynı veri, aynı bölme, aynı eğitim yordamı</w:t>
      </w:r>
      <w:r>
        <w:t xml:space="preserve"> altında yan yana koymak. Bu kulağa basit geliyor ama alandaki en yaygın sorun tam burada: makaleler birbirinden farklı veri alt kümeleri, farklı ön işleme hatları ve farklı bölme yöntemleri kullandığı için yayınlanan doğruluk oranları karşılaştırılabilir değil. Wen vd. (2020) ve Yagis vd. (2021), dilim düzeyinde bölme yapan çalışmalarda başarının </w:t>
      </w:r>
      <w:r>
        <w:rPr>
          <w:b/>
        </w:rPr>
        <w:t>25–55 puan</w:t>
      </w:r>
      <w:r>
        <w:t xml:space="preserve"> şiştiğini göstermiş. Bu yüzden işe önce bir </w:t>
      </w:r>
      <w:r>
        <w:rPr>
          <w:i/>
        </w:rPr>
        <w:t>protokol</w:t>
      </w:r>
      <w:r>
        <w:t xml:space="preserve"> yazarak başladık, model yazarak değil.</w:t>
      </w:r>
    </w:p>
    <w:p>
      <w:pPr>
        <w:spacing w:before="80" w:after="140"/>
        <w:jc w:val="both"/>
      </w:pPr>
      <w:r>
        <w:t>Bu raporda sırayla şunları anlatıyoruz: gerçekleştirdiğimiz sistem (§2), veri ve ön işleme (§3), adil karşılaştırma protokolü ve sızıntı denetimi (§4), deneysel sonuçlar (§5), karıştırıcı ve model-uyum analizleri (§6), test altyapısı (§7), çalışırken bulduğumuz şeyler (§8), kısıtlarımız (§9) ve kalan iş (§10).</w:t>
      </w:r>
    </w:p>
    <w:p>
      <w:pPr>
        <w:spacing w:before="120" w:after="160"/>
        <w:pBdr>
          <w:bottom w:val="single" w:sz="6" w:space="1" w:color="AAB6C0"/>
        </w:pBdr>
      </w:pPr>
    </w:p>
    <w:p>
      <w:pPr>
        <w:pStyle w:val="Heading1"/>
        <w:spacing w:before="360" w:after="180"/>
      </w:pPr>
      <w:r>
        <w:t>2. GERÇEKLEŞTİRİLEN SİSTEM</w:t>
      </w:r>
    </w:p>
    <w:p>
      <w:pPr>
        <w:spacing w:before="80" w:after="140"/>
        <w:jc w:val="both"/>
      </w:pPr>
      <w:r>
        <w:t xml:space="preserve">Depoda </w:t>
      </w:r>
      <w:r>
        <w:rPr>
          <w:b/>
        </w:rPr>
        <w:t>33 Python dosyası, 5.535 satır</w:t>
      </w:r>
      <w:r>
        <w:t xml:space="preserve"> kod var. Her push'ta GitHub Actions bu kodu Windows ve Ubuntu üzerinde ayrı ayrı derleyip test ediyor.</w:t>
      </w:r>
    </w:p>
    <w:p>
      <w:pPr>
        <w:pStyle w:val="Heading2"/>
        <w:spacing w:before="280" w:after="140"/>
      </w:pPr>
      <w:r>
        <w:t>2.1 Ortak altyapı (`uygulama/ortak/`)</w:t>
      </w:r>
    </w:p>
    <w:p>
      <w:pPr>
        <w:spacing w:before="80" w:after="140"/>
        <w:jc w:val="both"/>
      </w:pPr>
      <w:r>
        <w:t xml:space="preserve">Altı mimarinin adil karşılaştırılabilmesi için eğitim döngüsünü </w:t>
      </w:r>
      <w:r>
        <w:rPr>
          <w:b/>
        </w:rPr>
        <w:t>bir kez</w:t>
      </w:r>
      <w:r>
        <w:t xml:space="preserve"> yazdık; modeller yalnızca bir arayüz sözleşmesi uyguluyor. Sözleşme tek satır:</w:t>
      </w:r>
    </w:p>
    <w:p>
      <w:pPr>
        <w:spacing w:line="240" w:lineRule="auto" w:before="120" w:after="140"/>
        <w:ind w:left="283"/>
      </w:pPr>
      <w:r>
        <w:rPr>
          <w:rFonts w:ascii="Consolas" w:hAnsi="Consolas"/>
          <w:sz w:val="18"/>
        </w:rPr>
        <w:t>olustur(varyant: str, sinif_sayisi: int, girdi_boyut: int, **kw) -&gt; nn.Module</w:t>
      </w:r>
    </w:p>
    <w:p>
      <w:pPr>
        <w:spacing w:before="80" w:after="140"/>
        <w:jc w:val="both"/>
      </w:pPr>
      <w:r>
        <w:t xml:space="preserve">Bir ekip üyesi </w:t>
      </w:r>
      <w:r>
        <w:rPr>
          <w:rFonts w:ascii="Consolas" w:hAnsi="Consolas"/>
          <w:sz w:val="20"/>
        </w:rPr>
        <w:t>uygulama/&lt;ad&gt;_&lt;makale&gt;/model.py</w:t>
      </w:r>
      <w:r>
        <w:t xml:space="preserve"> içine bu fonksiyonu yazdığı anda model ortak eğitim döngüsünden çağrılabilir hale geliyor ve sürekli bütünleştirme onu kendiliğinden bulup sınıyor. Böylece hiç kimse kendi eğitim döngüsünü yazmıyor — yazsaydı karşılaştırma anlamsız olurdu.</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Dosya</w:t>
            </w:r>
          </w:p>
        </w:tc>
        <w:tc>
          <w:tcPr>
            <w:tcW w:type="dxa" w:w="2900"/>
            <w:shd w:val="clear" w:color="auto" w:fill="E8EDF2"/>
          </w:tcPr>
          <w:p>
            <w:pPr>
              <w:spacing w:after="0" w:before="0" w:line="240" w:lineRule="auto"/>
              <w:jc w:val="center"/>
            </w:pPr>
            <w:r>
              <w:rPr>
                <w:b/>
                <w:sz w:val="19"/>
              </w:rPr>
              <w:t>Satır</w:t>
            </w:r>
          </w:p>
        </w:tc>
        <w:tc>
          <w:tcPr>
            <w:tcW w:type="dxa" w:w="2900"/>
            <w:shd w:val="clear" w:color="auto" w:fill="E8EDF2"/>
          </w:tcPr>
          <w:p>
            <w:pPr>
              <w:spacing w:after="0" w:before="0" w:line="240" w:lineRule="auto"/>
              <w:jc w:val="center"/>
            </w:pPr>
            <w:r>
              <w:rPr>
                <w:b/>
                <w:sz w:val="19"/>
              </w:rPr>
              <w:t>Ne yapıyor</w:t>
            </w:r>
          </w:p>
        </w:tc>
      </w:tr>
      <w:tr>
        <w:tc>
          <w:tcPr>
            <w:tcW w:type="dxa" w:w="2988"/>
          </w:tcPr>
          <w:p>
            <w:pPr>
              <w:spacing w:after="0" w:before="0" w:line="240" w:lineRule="auto"/>
              <w:jc w:val="left"/>
            </w:pPr>
            <w:r>
              <w:rPr>
                <w:rFonts w:ascii="Consolas" w:hAnsi="Consolas"/>
                <w:sz w:val="19"/>
              </w:rPr>
              <w:t>egit.py</w:t>
            </w:r>
          </w:p>
        </w:tc>
        <w:tc>
          <w:tcPr>
            <w:tcW w:type="dxa" w:w="2900"/>
          </w:tcPr>
          <w:p>
            <w:pPr>
              <w:spacing w:after="0" w:before="0" w:line="240" w:lineRule="auto"/>
              <w:jc w:val="center"/>
            </w:pPr>
            <w:r>
              <w:rPr>
                <w:sz w:val="19"/>
              </w:rPr>
              <w:t>266</w:t>
            </w:r>
          </w:p>
        </w:tc>
        <w:tc>
          <w:tcPr>
            <w:tcW w:type="dxa" w:w="2900"/>
          </w:tcPr>
          <w:p>
            <w:pPr>
              <w:spacing w:after="0" w:before="0" w:line="240" w:lineRule="auto"/>
              <w:jc w:val="center"/>
            </w:pPr>
            <w:r>
              <w:rPr>
                <w:sz w:val="19"/>
              </w:rPr>
              <w:t>Ortak eğitim döngüsü: AMP, gradyan biriktirme, erken durdurma, her epoch'ta checkpoint, koşu kaydı JSON'u</w:t>
            </w:r>
          </w:p>
        </w:tc>
      </w:tr>
      <w:tr>
        <w:tc>
          <w:tcPr>
            <w:tcW w:type="dxa" w:w="2988"/>
          </w:tcPr>
          <w:p>
            <w:pPr>
              <w:spacing w:after="0" w:before="0" w:line="240" w:lineRule="auto"/>
              <w:jc w:val="left"/>
            </w:pPr>
            <w:r>
              <w:rPr>
                <w:rFonts w:ascii="Consolas" w:hAnsi="Consolas"/>
                <w:sz w:val="19"/>
              </w:rPr>
              <w:t>veri.py</w:t>
            </w:r>
          </w:p>
        </w:tc>
        <w:tc>
          <w:tcPr>
            <w:tcW w:type="dxa" w:w="2900"/>
          </w:tcPr>
          <w:p>
            <w:pPr>
              <w:spacing w:after="0" w:before="0" w:line="240" w:lineRule="auto"/>
              <w:jc w:val="center"/>
            </w:pPr>
            <w:r>
              <w:rPr>
                <w:sz w:val="19"/>
              </w:rPr>
              <w:t>144</w:t>
            </w:r>
          </w:p>
        </w:tc>
        <w:tc>
          <w:tcPr>
            <w:tcW w:type="dxa" w:w="2900"/>
          </w:tcPr>
          <w:p>
            <w:pPr>
              <w:spacing w:after="0" w:before="0" w:line="240" w:lineRule="auto"/>
              <w:jc w:val="center"/>
            </w:pPr>
            <w:r>
              <w:rPr>
                <w:rFonts w:ascii="Consolas" w:hAnsi="Consolas"/>
                <w:sz w:val="19"/>
              </w:rPr>
              <w:t>Dataset</w:t>
            </w:r>
            <w:r>
              <w:rPr>
                <w:sz w:val="19"/>
              </w:rPr>
              <w:t>/</w:t>
            </w:r>
            <w:r>
              <w:rPr>
                <w:rFonts w:ascii="Consolas" w:hAnsi="Consolas"/>
                <w:sz w:val="19"/>
              </w:rPr>
              <w:t>DataLoader</w:t>
            </w:r>
            <w:r>
              <w:rPr>
                <w:sz w:val="19"/>
              </w:rPr>
              <w:t>, görev tanımları, artırma (çevirme + afin + yoğunluk), işçi başına tohumlanmış RNG</w:t>
            </w:r>
          </w:p>
        </w:tc>
      </w:tr>
      <w:tr>
        <w:tc>
          <w:tcPr>
            <w:tcW w:type="dxa" w:w="2988"/>
          </w:tcPr>
          <w:p>
            <w:pPr>
              <w:spacing w:after="0" w:before="0" w:line="240" w:lineRule="auto"/>
              <w:jc w:val="left"/>
            </w:pPr>
            <w:r>
              <w:rPr>
                <w:rFonts w:ascii="Consolas" w:hAnsi="Consolas"/>
                <w:sz w:val="19"/>
              </w:rPr>
              <w:t>bolme.py</w:t>
            </w:r>
          </w:p>
        </w:tc>
        <w:tc>
          <w:tcPr>
            <w:tcW w:type="dxa" w:w="2900"/>
          </w:tcPr>
          <w:p>
            <w:pPr>
              <w:spacing w:after="0" w:before="0" w:line="240" w:lineRule="auto"/>
              <w:jc w:val="center"/>
            </w:pPr>
            <w:r>
              <w:rPr>
                <w:sz w:val="19"/>
              </w:rPr>
              <w:t>402</w:t>
            </w:r>
          </w:p>
        </w:tc>
        <w:tc>
          <w:tcPr>
            <w:tcW w:type="dxa" w:w="2900"/>
          </w:tcPr>
          <w:p>
            <w:pPr>
              <w:spacing w:after="0" w:before="0" w:line="240" w:lineRule="auto"/>
              <w:jc w:val="center"/>
            </w:pPr>
            <w:r>
              <w:rPr>
                <w:sz w:val="19"/>
              </w:rPr>
              <w:t>Etiket üretimi (ADNI / OASIS / BIDS / Radiata) ve denek düzeyinde kilitli test + 5-kat CV bölmesi</w:t>
            </w:r>
          </w:p>
        </w:tc>
      </w:tr>
      <w:tr>
        <w:tc>
          <w:tcPr>
            <w:tcW w:type="dxa" w:w="2988"/>
          </w:tcPr>
          <w:p>
            <w:pPr>
              <w:spacing w:after="0" w:before="0" w:line="240" w:lineRule="auto"/>
              <w:jc w:val="left"/>
            </w:pPr>
            <w:r>
              <w:rPr>
                <w:rFonts w:ascii="Consolas" w:hAnsi="Consolas"/>
                <w:sz w:val="19"/>
              </w:rPr>
              <w:t>metrikler.py</w:t>
            </w:r>
          </w:p>
        </w:tc>
        <w:tc>
          <w:tcPr>
            <w:tcW w:type="dxa" w:w="2900"/>
          </w:tcPr>
          <w:p>
            <w:pPr>
              <w:spacing w:after="0" w:before="0" w:line="240" w:lineRule="auto"/>
              <w:jc w:val="center"/>
            </w:pPr>
            <w:r>
              <w:rPr>
                <w:sz w:val="19"/>
              </w:rPr>
              <w:t>70</w:t>
            </w:r>
          </w:p>
        </w:tc>
        <w:tc>
          <w:tcPr>
            <w:tcW w:type="dxa" w:w="2900"/>
          </w:tcPr>
          <w:p>
            <w:pPr>
              <w:spacing w:after="0" w:before="0" w:line="240" w:lineRule="auto"/>
              <w:jc w:val="center"/>
            </w:pPr>
            <w:r>
              <w:rPr>
                <w:sz w:val="19"/>
              </w:rPr>
              <w:t>BAcc, AUC, F1-makro, duyarlılık, özgüllük, karışıklık matrisi, kat/tohum özeti</w:t>
            </w:r>
          </w:p>
        </w:tc>
      </w:tr>
      <w:tr>
        <w:tc>
          <w:tcPr>
            <w:tcW w:type="dxa" w:w="2988"/>
          </w:tcPr>
          <w:p>
            <w:pPr>
              <w:spacing w:after="0" w:before="0" w:line="240" w:lineRule="auto"/>
              <w:jc w:val="left"/>
            </w:pPr>
            <w:r>
              <w:rPr>
                <w:rFonts w:ascii="Consolas" w:hAnsi="Consolas"/>
                <w:sz w:val="19"/>
              </w:rPr>
              <w:t>saglik_testi.py</w:t>
            </w:r>
          </w:p>
        </w:tc>
        <w:tc>
          <w:tcPr>
            <w:tcW w:type="dxa" w:w="2900"/>
          </w:tcPr>
          <w:p>
            <w:pPr>
              <w:spacing w:after="0" w:before="0" w:line="240" w:lineRule="auto"/>
              <w:jc w:val="center"/>
            </w:pPr>
            <w:r>
              <w:rPr>
                <w:sz w:val="19"/>
              </w:rPr>
              <w:t>176</w:t>
            </w:r>
          </w:p>
        </w:tc>
        <w:tc>
          <w:tcPr>
            <w:tcW w:type="dxa" w:w="2900"/>
          </w:tcPr>
          <w:p>
            <w:pPr>
              <w:spacing w:after="0" w:before="0" w:line="240" w:lineRule="auto"/>
              <w:jc w:val="center"/>
            </w:pPr>
            <w:r>
              <w:rPr>
                <w:sz w:val="19"/>
              </w:rPr>
              <w:t>Sentetik veriyle uçtan uca hat denetimi (§7.2)</w:t>
            </w:r>
          </w:p>
        </w:tc>
      </w:tr>
      <w:tr>
        <w:tc>
          <w:tcPr>
            <w:tcW w:type="dxa" w:w="2988"/>
          </w:tcPr>
          <w:p>
            <w:pPr>
              <w:spacing w:after="0" w:before="0" w:line="240" w:lineRule="auto"/>
              <w:jc w:val="left"/>
            </w:pPr>
            <w:r>
              <w:rPr>
                <w:rFonts w:ascii="Consolas" w:hAnsi="Consolas"/>
                <w:sz w:val="19"/>
              </w:rPr>
              <w:t>onnx_disa_aktar.py</w:t>
            </w:r>
          </w:p>
        </w:tc>
        <w:tc>
          <w:tcPr>
            <w:tcW w:type="dxa" w:w="2900"/>
          </w:tcPr>
          <w:p>
            <w:pPr>
              <w:spacing w:after="0" w:before="0" w:line="240" w:lineRule="auto"/>
              <w:jc w:val="center"/>
            </w:pPr>
            <w:r>
              <w:rPr>
                <w:sz w:val="19"/>
              </w:rPr>
              <w:t>65</w:t>
            </w:r>
          </w:p>
        </w:tc>
        <w:tc>
          <w:tcPr>
            <w:tcW w:type="dxa" w:w="2900"/>
          </w:tcPr>
          <w:p>
            <w:pPr>
              <w:spacing w:after="0" w:before="0" w:line="240" w:lineRule="auto"/>
              <w:jc w:val="center"/>
            </w:pPr>
            <w:r>
              <w:rPr>
                <w:sz w:val="19"/>
              </w:rPr>
              <w:t>Eğitilmiş checkpoint → ONNX</w:t>
            </w:r>
          </w:p>
        </w:tc>
      </w:tr>
      <w:tr>
        <w:tc>
          <w:tcPr>
            <w:tcW w:type="dxa" w:w="2988"/>
          </w:tcPr>
          <w:p>
            <w:pPr>
              <w:spacing w:after="0" w:before="0" w:line="240" w:lineRule="auto"/>
              <w:jc w:val="left"/>
            </w:pPr>
            <w:r>
              <w:rPr>
                <w:rFonts w:ascii="Consolas" w:hAnsi="Consolas"/>
                <w:sz w:val="19"/>
              </w:rPr>
              <w:t>vram_olc.py</w:t>
            </w:r>
          </w:p>
        </w:tc>
        <w:tc>
          <w:tcPr>
            <w:tcW w:type="dxa" w:w="2900"/>
          </w:tcPr>
          <w:p>
            <w:pPr>
              <w:spacing w:after="0" w:before="0" w:line="240" w:lineRule="auto"/>
              <w:jc w:val="center"/>
            </w:pPr>
            <w:r>
              <w:rPr>
                <w:sz w:val="19"/>
              </w:rPr>
              <w:t>124</w:t>
            </w:r>
          </w:p>
        </w:tc>
        <w:tc>
          <w:tcPr>
            <w:tcW w:type="dxa" w:w="2900"/>
          </w:tcPr>
          <w:p>
            <w:pPr>
              <w:spacing w:after="0" w:before="0" w:line="240" w:lineRule="auto"/>
              <w:jc w:val="center"/>
            </w:pPr>
            <w:r>
              <w:rPr>
                <w:sz w:val="19"/>
              </w:rPr>
              <w:t>Model × boyut × batch için tepe VRAM ölçümü</w:t>
            </w:r>
          </w:p>
        </w:tc>
      </w:tr>
      <w:tr>
        <w:tc>
          <w:tcPr>
            <w:tcW w:type="dxa" w:w="2988"/>
          </w:tcPr>
          <w:p>
            <w:pPr>
              <w:spacing w:after="0" w:before="0" w:line="240" w:lineRule="auto"/>
              <w:jc w:val="left"/>
            </w:pPr>
            <w:r>
              <w:rPr>
                <w:rFonts w:ascii="Consolas" w:hAnsi="Consolas"/>
                <w:sz w:val="19"/>
              </w:rPr>
              <w:t>dis_test.py</w:t>
            </w:r>
          </w:p>
        </w:tc>
        <w:tc>
          <w:tcPr>
            <w:tcW w:type="dxa" w:w="2900"/>
          </w:tcPr>
          <w:p>
            <w:pPr>
              <w:spacing w:after="0" w:before="0" w:line="240" w:lineRule="auto"/>
              <w:jc w:val="center"/>
            </w:pPr>
            <w:r>
              <w:rPr>
                <w:sz w:val="19"/>
              </w:rPr>
              <w:t>142</w:t>
            </w:r>
          </w:p>
        </w:tc>
        <w:tc>
          <w:tcPr>
            <w:tcW w:type="dxa" w:w="2900"/>
          </w:tcPr>
          <w:p>
            <w:pPr>
              <w:spacing w:after="0" w:before="0" w:line="240" w:lineRule="auto"/>
              <w:jc w:val="center"/>
            </w:pPr>
            <w:r>
              <w:rPr>
                <w:sz w:val="19"/>
              </w:rPr>
              <w:t>Başka veri setinde sıfır-atış test (sızıntı kapısıyla)</w:t>
            </w:r>
          </w:p>
        </w:tc>
      </w:tr>
      <w:tr>
        <w:tc>
          <w:tcPr>
            <w:tcW w:type="dxa" w:w="2988"/>
          </w:tcPr>
          <w:p>
            <w:pPr>
              <w:spacing w:after="0" w:before="0" w:line="240" w:lineRule="auto"/>
              <w:jc w:val="left"/>
            </w:pPr>
            <w:r>
              <w:rPr>
                <w:rFonts w:ascii="Consolas" w:hAnsi="Consolas"/>
                <w:sz w:val="19"/>
              </w:rPr>
              <w:t>eslestir.py</w:t>
            </w:r>
          </w:p>
        </w:tc>
        <w:tc>
          <w:tcPr>
            <w:tcW w:type="dxa" w:w="2900"/>
          </w:tcPr>
          <w:p>
            <w:pPr>
              <w:spacing w:after="0" w:before="0" w:line="240" w:lineRule="auto"/>
              <w:jc w:val="center"/>
            </w:pPr>
            <w:r>
              <w:rPr>
                <w:sz w:val="19"/>
              </w:rPr>
              <w:t>137</w:t>
            </w:r>
          </w:p>
        </w:tc>
        <w:tc>
          <w:tcPr>
            <w:tcW w:type="dxa" w:w="2900"/>
          </w:tcPr>
          <w:p>
            <w:pPr>
              <w:spacing w:after="0" w:before="0" w:line="240" w:lineRule="auto"/>
              <w:jc w:val="center"/>
            </w:pPr>
            <w:r>
              <w:rPr>
                <w:sz w:val="19"/>
              </w:rPr>
              <w:t>Yaş/cinsiyet eşleştirilmiş kontrol seçimi</w:t>
            </w:r>
          </w:p>
        </w:tc>
      </w:tr>
      <w:tr>
        <w:tc>
          <w:tcPr>
            <w:tcW w:type="dxa" w:w="2988"/>
          </w:tcPr>
          <w:p>
            <w:pPr>
              <w:spacing w:after="0" w:before="0" w:line="240" w:lineRule="auto"/>
              <w:jc w:val="left"/>
            </w:pPr>
            <w:r>
              <w:rPr>
                <w:rFonts w:ascii="Consolas" w:hAnsi="Consolas"/>
                <w:sz w:val="19"/>
              </w:rPr>
              <w:t>svm_kos.py</w:t>
            </w:r>
          </w:p>
        </w:tc>
        <w:tc>
          <w:tcPr>
            <w:tcW w:type="dxa" w:w="2900"/>
          </w:tcPr>
          <w:p>
            <w:pPr>
              <w:spacing w:after="0" w:before="0" w:line="240" w:lineRule="auto"/>
              <w:jc w:val="center"/>
            </w:pPr>
            <w:r>
              <w:rPr>
                <w:sz w:val="19"/>
              </w:rPr>
              <w:t>123</w:t>
            </w:r>
          </w:p>
        </w:tc>
        <w:tc>
          <w:tcPr>
            <w:tcW w:type="dxa" w:w="2900"/>
          </w:tcPr>
          <w:p>
            <w:pPr>
              <w:spacing w:after="0" w:before="0" w:line="240" w:lineRule="auto"/>
              <w:jc w:val="center"/>
            </w:pPr>
            <w:r>
              <w:rPr>
                <w:sz w:val="19"/>
              </w:rPr>
              <w:t>Voksel tabanlı lineer SVM temel çizgisi</w:t>
            </w:r>
          </w:p>
        </w:tc>
      </w:tr>
      <w:tr>
        <w:tc>
          <w:tcPr>
            <w:tcW w:type="dxa" w:w="2988"/>
          </w:tcPr>
          <w:p>
            <w:pPr>
              <w:spacing w:after="0" w:before="0" w:line="240" w:lineRule="auto"/>
              <w:jc w:val="left"/>
            </w:pPr>
            <w:r>
              <w:rPr>
                <w:rFonts w:ascii="Consolas" w:hAnsi="Consolas"/>
                <w:sz w:val="19"/>
              </w:rPr>
              <w:t>temel_cizgi.py</w:t>
            </w:r>
          </w:p>
        </w:tc>
        <w:tc>
          <w:tcPr>
            <w:tcW w:type="dxa" w:w="2900"/>
          </w:tcPr>
          <w:p>
            <w:pPr>
              <w:spacing w:after="0" w:before="0" w:line="240" w:lineRule="auto"/>
              <w:jc w:val="center"/>
            </w:pPr>
            <w:r>
              <w:rPr>
                <w:sz w:val="19"/>
              </w:rPr>
              <w:t>49</w:t>
            </w:r>
          </w:p>
        </w:tc>
        <w:tc>
          <w:tcPr>
            <w:tcW w:type="dxa" w:w="2900"/>
          </w:tcPr>
          <w:p>
            <w:pPr>
              <w:spacing w:after="0" w:before="0" w:line="240" w:lineRule="auto"/>
              <w:jc w:val="center"/>
            </w:pPr>
            <w:r>
              <w:rPr>
                <w:sz w:val="19"/>
              </w:rPr>
              <w:t>Sığ 3B CNN temel çizgisi (SigCNN3D)</w:t>
            </w:r>
          </w:p>
        </w:tc>
      </w:tr>
    </w:tbl>
    <w:p>
      <w:pPr>
        <w:spacing w:after="160"/>
      </w:pPr>
    </w:p>
    <w:p>
      <w:pPr>
        <w:spacing w:before="80" w:after="140"/>
        <w:jc w:val="both"/>
      </w:pPr>
      <w:r>
        <w:rPr>
          <w:b/>
        </w:rPr>
        <w:t>Tekrarlanabilirlik.</w:t>
      </w:r>
      <w:r>
        <w:t xml:space="preserve"> Her eğitim koşusu, bittiğinde kendi künyesini JSON olarak yazıyor: model, varyant, görev, kat, tohum, tüm hiperparametreler, parametre sayısı, GPU adı, tepe VRAM, süre, doğrulama ve test metrikleri, </w:t>
      </w:r>
      <w:r>
        <w:rPr>
          <w:b/>
        </w:rPr>
        <w:t>git commit hash'i</w:t>
      </w:r>
      <w:r>
        <w:t xml:space="preserve"> ve kütüphane sürümleri (python, torch, cuda, cudnn, monai, numpy). Commit hash'i olmayan bir koşu sonuç tablosuna alınmıyor — çünkü hangi kodun ürettiği bilinmeyen bir sayı savunulamaz.</w:t>
      </w:r>
    </w:p>
    <w:p>
      <w:pPr>
        <w:spacing w:before="80" w:after="140"/>
        <w:jc w:val="both"/>
      </w:pPr>
      <w:r>
        <w:t>Koşu adları çakışmaya karşı korunuyor: ad, modelin yanı sıra öğrenme oranını, girdi boyutunu, optimizatörü, ısınma süresini ve varsa ablation etiketini taşıyor. Bunu baştan böyle yapmamıştık; öğrenme oranı taraması yaptığımızda koşuların birbirinin checkpoint'ini ezdiğini fark edip düzelttik.</w:t>
      </w:r>
    </w:p>
    <w:p>
      <w:pPr>
        <w:pStyle w:val="Heading2"/>
        <w:spacing w:before="280" w:after="140"/>
      </w:pPr>
      <w:r>
        <w:t>2.2 Altı mimari</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2285"/>
            <w:shd w:val="clear" w:color="auto" w:fill="E8EDF2"/>
          </w:tcPr>
          <w:p>
            <w:pPr>
              <w:spacing w:after="0" w:before="0" w:line="240" w:lineRule="auto"/>
              <w:jc w:val="left"/>
            </w:pPr>
            <w:r>
              <w:rPr>
                <w:b/>
                <w:sz w:val="19"/>
              </w:rPr>
              <w:t>Kod</w:t>
            </w:r>
          </w:p>
        </w:tc>
        <w:tc>
          <w:tcPr>
            <w:tcW w:type="dxa" w:w="1301"/>
            <w:shd w:val="clear" w:color="auto" w:fill="E8EDF2"/>
          </w:tcPr>
          <w:p>
            <w:pPr>
              <w:spacing w:after="0" w:before="0" w:line="240" w:lineRule="auto"/>
              <w:jc w:val="center"/>
            </w:pPr>
            <w:r>
              <w:rPr>
                <w:b/>
                <w:sz w:val="19"/>
              </w:rPr>
              <w:t>Makale</w:t>
            </w:r>
          </w:p>
        </w:tc>
        <w:tc>
          <w:tcPr>
            <w:tcW w:type="dxa" w:w="1301"/>
            <w:shd w:val="clear" w:color="auto" w:fill="E8EDF2"/>
          </w:tcPr>
          <w:p>
            <w:pPr>
              <w:spacing w:after="0" w:before="0" w:line="240" w:lineRule="auto"/>
              <w:jc w:val="center"/>
            </w:pPr>
            <w:r>
              <w:rPr>
                <w:b/>
                <w:sz w:val="19"/>
              </w:rPr>
              <w:t>Mimari</w:t>
            </w:r>
          </w:p>
        </w:tc>
        <w:tc>
          <w:tcPr>
            <w:tcW w:type="dxa" w:w="1301"/>
            <w:shd w:val="clear" w:color="auto" w:fill="E8EDF2"/>
          </w:tcPr>
          <w:p>
            <w:pPr>
              <w:spacing w:after="0" w:before="0" w:line="240" w:lineRule="auto"/>
              <w:jc w:val="center"/>
            </w:pPr>
            <w:r>
              <w:rPr>
                <w:b/>
                <w:sz w:val="19"/>
              </w:rPr>
              <w:t>Parametre (128³)</w:t>
            </w:r>
          </w:p>
        </w:tc>
        <w:tc>
          <w:tcPr>
            <w:tcW w:type="dxa" w:w="1301"/>
            <w:shd w:val="clear" w:color="auto" w:fill="E8EDF2"/>
          </w:tcPr>
          <w:p>
            <w:pPr>
              <w:spacing w:after="0" w:before="0" w:line="240" w:lineRule="auto"/>
              <w:jc w:val="center"/>
            </w:pPr>
            <w:r>
              <w:rPr>
                <w:b/>
                <w:sz w:val="19"/>
              </w:rPr>
              <w:t>Normalizasyon katmanı</w:t>
            </w:r>
          </w:p>
        </w:tc>
        <w:tc>
          <w:tcPr>
            <w:tcW w:type="dxa" w:w="1301"/>
            <w:shd w:val="clear" w:color="auto" w:fill="E8EDF2"/>
          </w:tcPr>
          <w:p>
            <w:pPr>
              <w:spacing w:after="0" w:before="0" w:line="240" w:lineRule="auto"/>
              <w:jc w:val="center"/>
            </w:pPr>
            <w:r>
              <w:rPr>
                <w:b/>
                <w:sz w:val="19"/>
              </w:rPr>
              <w:t>Yazan</w:t>
            </w:r>
          </w:p>
        </w:tc>
      </w:tr>
      <w:tr>
        <w:tc>
          <w:tcPr>
            <w:tcW w:type="dxa" w:w="2285"/>
          </w:tcPr>
          <w:p>
            <w:pPr>
              <w:spacing w:after="0" w:before="0" w:line="240" w:lineRule="auto"/>
              <w:jc w:val="left"/>
            </w:pPr>
            <w:r>
              <w:rPr>
                <w:sz w:val="19"/>
              </w:rPr>
              <w:t>P01a</w:t>
            </w:r>
          </w:p>
        </w:tc>
        <w:tc>
          <w:tcPr>
            <w:tcW w:type="dxa" w:w="1301"/>
          </w:tcPr>
          <w:p>
            <w:pPr>
              <w:spacing w:after="0" w:before="0" w:line="240" w:lineRule="auto"/>
              <w:jc w:val="center"/>
            </w:pPr>
            <w:r>
              <w:rPr>
                <w:sz w:val="19"/>
              </w:rPr>
              <w:t>Korolev vd. 2017</w:t>
            </w:r>
          </w:p>
        </w:tc>
        <w:tc>
          <w:tcPr>
            <w:tcW w:type="dxa" w:w="1301"/>
          </w:tcPr>
          <w:p>
            <w:pPr>
              <w:spacing w:after="0" w:before="0" w:line="240" w:lineRule="auto"/>
              <w:jc w:val="center"/>
            </w:pPr>
            <w:r>
              <w:rPr>
                <w:sz w:val="19"/>
              </w:rPr>
              <w:t>VoxCNN (düz 3B CNN, valid konvolüsyon)</w:t>
            </w:r>
          </w:p>
        </w:tc>
        <w:tc>
          <w:tcPr>
            <w:tcW w:type="dxa" w:w="1301"/>
          </w:tcPr>
          <w:p>
            <w:pPr>
              <w:spacing w:after="0" w:before="0" w:line="240" w:lineRule="auto"/>
              <w:jc w:val="center"/>
            </w:pPr>
            <w:r>
              <w:rPr>
                <w:sz w:val="19"/>
              </w:rPr>
              <w:t>0,38M</w:t>
            </w:r>
          </w:p>
        </w:tc>
        <w:tc>
          <w:tcPr>
            <w:tcW w:type="dxa" w:w="1301"/>
          </w:tcPr>
          <w:p>
            <w:pPr>
              <w:spacing w:after="0" w:before="0" w:line="240" w:lineRule="auto"/>
              <w:jc w:val="center"/>
            </w:pPr>
            <w:r>
              <w:rPr>
                <w:sz w:val="19"/>
              </w:rPr>
              <w:t>0</w:t>
            </w:r>
          </w:p>
        </w:tc>
        <w:tc>
          <w:tcPr>
            <w:tcW w:type="dxa" w:w="1301"/>
          </w:tcPr>
          <w:p>
            <w:pPr>
              <w:spacing w:after="0" w:before="0" w:line="240" w:lineRule="auto"/>
              <w:jc w:val="center"/>
            </w:pPr>
            <w:r>
              <w:rPr>
                <w:sz w:val="19"/>
              </w:rPr>
              <w:t>Baran</w:t>
            </w:r>
          </w:p>
        </w:tc>
      </w:tr>
      <w:tr>
        <w:tc>
          <w:tcPr>
            <w:tcW w:type="dxa" w:w="2285"/>
          </w:tcPr>
          <w:p>
            <w:pPr>
              <w:spacing w:after="0" w:before="0" w:line="240" w:lineRule="auto"/>
              <w:jc w:val="left"/>
            </w:pPr>
            <w:r>
              <w:rPr>
                <w:sz w:val="19"/>
              </w:rPr>
              <w:t>P01b</w:t>
            </w:r>
          </w:p>
        </w:tc>
        <w:tc>
          <w:tcPr>
            <w:tcW w:type="dxa" w:w="1301"/>
          </w:tcPr>
          <w:p>
            <w:pPr>
              <w:spacing w:after="0" w:before="0" w:line="240" w:lineRule="auto"/>
              <w:jc w:val="center"/>
            </w:pPr>
            <w:r>
              <w:rPr>
                <w:sz w:val="19"/>
              </w:rPr>
              <w:t>Korolev vd. 2017</w:t>
            </w:r>
          </w:p>
        </w:tc>
        <w:tc>
          <w:tcPr>
            <w:tcW w:type="dxa" w:w="1301"/>
          </w:tcPr>
          <w:p>
            <w:pPr>
              <w:spacing w:after="0" w:before="0" w:line="240" w:lineRule="auto"/>
              <w:jc w:val="center"/>
            </w:pPr>
            <w:r>
              <w:rPr>
                <w:sz w:val="19"/>
              </w:rPr>
              <w:t>VoxResNet (artık bağlantılı)</w:t>
            </w:r>
          </w:p>
        </w:tc>
        <w:tc>
          <w:tcPr>
            <w:tcW w:type="dxa" w:w="1301"/>
          </w:tcPr>
          <w:p>
            <w:pPr>
              <w:spacing w:after="0" w:before="0" w:line="240" w:lineRule="auto"/>
              <w:jc w:val="center"/>
            </w:pPr>
            <w:r>
              <w:rPr>
                <w:sz w:val="19"/>
              </w:rPr>
              <w:t>3,21M</w:t>
            </w:r>
          </w:p>
        </w:tc>
        <w:tc>
          <w:tcPr>
            <w:tcW w:type="dxa" w:w="1301"/>
          </w:tcPr>
          <w:p>
            <w:pPr>
              <w:spacing w:after="0" w:before="0" w:line="240" w:lineRule="auto"/>
              <w:jc w:val="center"/>
            </w:pPr>
            <w:r>
              <w:rPr>
                <w:sz w:val="19"/>
              </w:rPr>
              <w:t>15</w:t>
            </w:r>
          </w:p>
        </w:tc>
        <w:tc>
          <w:tcPr>
            <w:tcW w:type="dxa" w:w="1301"/>
          </w:tcPr>
          <w:p>
            <w:pPr>
              <w:spacing w:after="0" w:before="0" w:line="240" w:lineRule="auto"/>
              <w:jc w:val="center"/>
            </w:pPr>
            <w:r>
              <w:rPr>
                <w:sz w:val="19"/>
              </w:rPr>
              <w:t>Baran</w:t>
            </w:r>
          </w:p>
        </w:tc>
      </w:tr>
      <w:tr>
        <w:tc>
          <w:tcPr>
            <w:tcW w:type="dxa" w:w="2285"/>
          </w:tcPr>
          <w:p>
            <w:pPr>
              <w:spacing w:after="0" w:before="0" w:line="240" w:lineRule="auto"/>
              <w:jc w:val="left"/>
            </w:pPr>
            <w:r>
              <w:rPr>
                <w:sz w:val="19"/>
              </w:rPr>
              <w:t>P02</w:t>
            </w:r>
          </w:p>
        </w:tc>
        <w:tc>
          <w:tcPr>
            <w:tcW w:type="dxa" w:w="1301"/>
          </w:tcPr>
          <w:p>
            <w:pPr>
              <w:spacing w:after="0" w:before="0" w:line="240" w:lineRule="auto"/>
              <w:jc w:val="center"/>
            </w:pPr>
            <w:r>
              <w:rPr>
                <w:sz w:val="19"/>
              </w:rPr>
              <w:t>Chen vd. 2019</w:t>
            </w:r>
          </w:p>
        </w:tc>
        <w:tc>
          <w:tcPr>
            <w:tcW w:type="dxa" w:w="1301"/>
          </w:tcPr>
          <w:p>
            <w:pPr>
              <w:spacing w:after="0" w:before="0" w:line="240" w:lineRule="auto"/>
              <w:jc w:val="center"/>
            </w:pPr>
            <w:r>
              <w:rPr>
                <w:sz w:val="19"/>
              </w:rPr>
              <w:t>MedicalNet ResNet-18, 23 veri setinde ön eğitimli</w:t>
            </w:r>
          </w:p>
        </w:tc>
        <w:tc>
          <w:tcPr>
            <w:tcW w:type="dxa" w:w="1301"/>
          </w:tcPr>
          <w:p>
            <w:pPr>
              <w:spacing w:after="0" w:before="0" w:line="240" w:lineRule="auto"/>
              <w:jc w:val="center"/>
            </w:pPr>
            <w:r>
              <w:rPr>
                <w:sz w:val="19"/>
              </w:rPr>
              <w:t>32,99M</w:t>
            </w:r>
          </w:p>
        </w:tc>
        <w:tc>
          <w:tcPr>
            <w:tcW w:type="dxa" w:w="1301"/>
          </w:tcPr>
          <w:p>
            <w:pPr>
              <w:spacing w:after="0" w:before="0" w:line="240" w:lineRule="auto"/>
              <w:jc w:val="center"/>
            </w:pPr>
            <w:r>
              <w:rPr>
                <w:sz w:val="19"/>
              </w:rPr>
              <w:t>17</w:t>
            </w:r>
          </w:p>
        </w:tc>
        <w:tc>
          <w:tcPr>
            <w:tcW w:type="dxa" w:w="1301"/>
          </w:tcPr>
          <w:p>
            <w:pPr>
              <w:spacing w:after="0" w:before="0" w:line="240" w:lineRule="auto"/>
              <w:jc w:val="center"/>
            </w:pPr>
            <w:r>
              <w:rPr>
                <w:sz w:val="19"/>
              </w:rPr>
              <w:t>Baran</w:t>
            </w:r>
          </w:p>
        </w:tc>
      </w:tr>
      <w:tr>
        <w:tc>
          <w:tcPr>
            <w:tcW w:type="dxa" w:w="2285"/>
          </w:tcPr>
          <w:p>
            <w:pPr>
              <w:spacing w:after="0" w:before="0" w:line="240" w:lineRule="auto"/>
              <w:jc w:val="left"/>
            </w:pPr>
            <w:r>
              <w:rPr>
                <w:sz w:val="19"/>
              </w:rPr>
              <w:t>P06</w:t>
            </w:r>
          </w:p>
        </w:tc>
        <w:tc>
          <w:tcPr>
            <w:tcW w:type="dxa" w:w="1301"/>
          </w:tcPr>
          <w:p>
            <w:pPr>
              <w:spacing w:after="0" w:before="0" w:line="240" w:lineRule="auto"/>
              <w:jc w:val="center"/>
            </w:pPr>
            <w:r>
              <w:rPr>
                <w:sz w:val="19"/>
              </w:rPr>
              <w:t>Böhle vd. 2019</w:t>
            </w:r>
          </w:p>
        </w:tc>
        <w:tc>
          <w:tcPr>
            <w:tcW w:type="dxa" w:w="1301"/>
          </w:tcPr>
          <w:p>
            <w:pPr>
              <w:spacing w:after="0" w:before="0" w:line="240" w:lineRule="auto"/>
              <w:jc w:val="center"/>
            </w:pPr>
            <w:r>
              <w:rPr>
                <w:sz w:val="19"/>
              </w:rPr>
              <w:t>4 bloklu 3B CNN + Katman Bazlı İlgi Yayılımı</w:t>
            </w:r>
          </w:p>
        </w:tc>
        <w:tc>
          <w:tcPr>
            <w:tcW w:type="dxa" w:w="1301"/>
          </w:tcPr>
          <w:p>
            <w:pPr>
              <w:spacing w:after="0" w:before="0" w:line="240" w:lineRule="auto"/>
              <w:jc w:val="center"/>
            </w:pPr>
            <w:r>
              <w:rPr>
                <w:sz w:val="19"/>
              </w:rPr>
              <w:t>4,27M</w:t>
            </w:r>
          </w:p>
        </w:tc>
        <w:tc>
          <w:tcPr>
            <w:tcW w:type="dxa" w:w="1301"/>
          </w:tcPr>
          <w:p>
            <w:pPr>
              <w:spacing w:after="0" w:before="0" w:line="240" w:lineRule="auto"/>
              <w:jc w:val="center"/>
            </w:pPr>
            <w:r>
              <w:rPr>
                <w:sz w:val="19"/>
              </w:rPr>
              <w:t>0</w:t>
            </w:r>
          </w:p>
        </w:tc>
        <w:tc>
          <w:tcPr>
            <w:tcW w:type="dxa" w:w="1301"/>
          </w:tcPr>
          <w:p>
            <w:pPr>
              <w:spacing w:after="0" w:before="0" w:line="240" w:lineRule="auto"/>
              <w:jc w:val="center"/>
            </w:pPr>
            <w:r>
              <w:rPr>
                <w:sz w:val="19"/>
              </w:rPr>
              <w:t>Görkem</w:t>
            </w:r>
          </w:p>
        </w:tc>
      </w:tr>
      <w:tr>
        <w:tc>
          <w:tcPr>
            <w:tcW w:type="dxa" w:w="2285"/>
          </w:tcPr>
          <w:p>
            <w:pPr>
              <w:spacing w:after="0" w:before="0" w:line="240" w:lineRule="auto"/>
              <w:jc w:val="left"/>
            </w:pPr>
            <w:r>
              <w:rPr>
                <w:sz w:val="19"/>
              </w:rPr>
              <w:t>P07</w:t>
            </w:r>
          </w:p>
        </w:tc>
        <w:tc>
          <w:tcPr>
            <w:tcW w:type="dxa" w:w="1301"/>
          </w:tcPr>
          <w:p>
            <w:pPr>
              <w:spacing w:after="0" w:before="0" w:line="240" w:lineRule="auto"/>
              <w:jc w:val="center"/>
            </w:pPr>
            <w:r>
              <w:rPr>
                <w:sz w:val="19"/>
              </w:rPr>
              <w:t>Zhang vd. 2021</w:t>
            </w:r>
          </w:p>
        </w:tc>
        <w:tc>
          <w:tcPr>
            <w:tcW w:type="dxa" w:w="1301"/>
          </w:tcPr>
          <w:p>
            <w:pPr>
              <w:spacing w:after="0" w:before="0" w:line="240" w:lineRule="auto"/>
              <w:jc w:val="center"/>
            </w:pPr>
            <w:r>
              <w:rPr>
                <w:sz w:val="19"/>
              </w:rPr>
              <w:t>ResAttNet — artık bloklar + öz-dikkat</w:t>
            </w:r>
          </w:p>
        </w:tc>
        <w:tc>
          <w:tcPr>
            <w:tcW w:type="dxa" w:w="1301"/>
          </w:tcPr>
          <w:p>
            <w:pPr>
              <w:spacing w:after="0" w:before="0" w:line="240" w:lineRule="auto"/>
              <w:jc w:val="center"/>
            </w:pPr>
            <w:r>
              <w:rPr>
                <w:sz w:val="19"/>
              </w:rPr>
              <w:t>34,21M</w:t>
            </w:r>
          </w:p>
        </w:tc>
        <w:tc>
          <w:tcPr>
            <w:tcW w:type="dxa" w:w="1301"/>
          </w:tcPr>
          <w:p>
            <w:pPr>
              <w:spacing w:after="0" w:before="0" w:line="240" w:lineRule="auto"/>
              <w:jc w:val="center"/>
            </w:pPr>
            <w:r>
              <w:rPr>
                <w:sz w:val="19"/>
              </w:rPr>
              <w:t>22</w:t>
            </w:r>
          </w:p>
        </w:tc>
        <w:tc>
          <w:tcPr>
            <w:tcW w:type="dxa" w:w="1301"/>
          </w:tcPr>
          <w:p>
            <w:pPr>
              <w:spacing w:after="0" w:before="0" w:line="240" w:lineRule="auto"/>
              <w:jc w:val="center"/>
            </w:pPr>
            <w:r>
              <w:rPr>
                <w:sz w:val="19"/>
              </w:rPr>
              <w:t>Görkem</w:t>
            </w:r>
          </w:p>
        </w:tc>
      </w:tr>
      <w:tr>
        <w:tc>
          <w:tcPr>
            <w:tcW w:type="dxa" w:w="2285"/>
          </w:tcPr>
          <w:p>
            <w:pPr>
              <w:spacing w:after="0" w:before="0" w:line="240" w:lineRule="auto"/>
              <w:jc w:val="left"/>
            </w:pPr>
            <w:r>
              <w:rPr>
                <w:sz w:val="19"/>
              </w:rPr>
              <w:t>P11</w:t>
            </w:r>
          </w:p>
        </w:tc>
        <w:tc>
          <w:tcPr>
            <w:tcW w:type="dxa" w:w="1301"/>
          </w:tcPr>
          <w:p>
            <w:pPr>
              <w:spacing w:after="0" w:before="0" w:line="240" w:lineRule="auto"/>
              <w:jc w:val="center"/>
            </w:pPr>
            <w:r>
              <w:rPr>
                <w:sz w:val="19"/>
              </w:rPr>
              <w:t>Qiu vd. 2020</w:t>
            </w:r>
          </w:p>
        </w:tc>
        <w:tc>
          <w:tcPr>
            <w:tcW w:type="dxa" w:w="1301"/>
          </w:tcPr>
          <w:p>
            <w:pPr>
              <w:spacing w:after="0" w:before="0" w:line="240" w:lineRule="auto"/>
              <w:jc w:val="center"/>
            </w:pPr>
            <w:r>
              <w:rPr>
                <w:sz w:val="19"/>
              </w:rPr>
              <w:t>Tam evrişimli ağ, yama tabanlı</w:t>
            </w:r>
          </w:p>
        </w:tc>
        <w:tc>
          <w:tcPr>
            <w:tcW w:type="dxa" w:w="1301"/>
          </w:tcPr>
          <w:p>
            <w:pPr>
              <w:spacing w:after="0" w:before="0" w:line="240" w:lineRule="auto"/>
              <w:jc w:val="center"/>
            </w:pPr>
            <w:r>
              <w:rPr>
                <w:sz w:val="19"/>
              </w:rPr>
              <w:t>1,52M</w:t>
            </w:r>
          </w:p>
        </w:tc>
        <w:tc>
          <w:tcPr>
            <w:tcW w:type="dxa" w:w="1301"/>
          </w:tcPr>
          <w:p>
            <w:pPr>
              <w:spacing w:after="0" w:before="0" w:line="240" w:lineRule="auto"/>
              <w:jc w:val="center"/>
            </w:pPr>
            <w:r>
              <w:rPr>
                <w:sz w:val="19"/>
              </w:rPr>
              <w:t>4</w:t>
            </w:r>
          </w:p>
        </w:tc>
        <w:tc>
          <w:tcPr>
            <w:tcW w:type="dxa" w:w="1301"/>
          </w:tcPr>
          <w:p>
            <w:pPr>
              <w:spacing w:after="0" w:before="0" w:line="240" w:lineRule="auto"/>
              <w:jc w:val="center"/>
            </w:pPr>
            <w:r>
              <w:rPr>
                <w:sz w:val="19"/>
              </w:rPr>
              <w:t>Ertuğrul</w:t>
            </w:r>
          </w:p>
        </w:tc>
      </w:tr>
      <w:tr>
        <w:tc>
          <w:tcPr>
            <w:tcW w:type="dxa" w:w="2285"/>
          </w:tcPr>
          <w:p>
            <w:pPr>
              <w:spacing w:after="0" w:before="0" w:line="240" w:lineRule="auto"/>
              <w:jc w:val="left"/>
            </w:pPr>
            <w:r>
              <w:rPr>
                <w:sz w:val="19"/>
              </w:rPr>
              <w:t>P12</w:t>
            </w:r>
          </w:p>
        </w:tc>
        <w:tc>
          <w:tcPr>
            <w:tcW w:type="dxa" w:w="1301"/>
          </w:tcPr>
          <w:p>
            <w:pPr>
              <w:spacing w:after="0" w:before="0" w:line="240" w:lineRule="auto"/>
              <w:jc w:val="center"/>
            </w:pPr>
            <w:r>
              <w:rPr>
                <w:sz w:val="19"/>
              </w:rPr>
              <w:t>Solano-Rojas vd. 2021</w:t>
            </w:r>
          </w:p>
        </w:tc>
        <w:tc>
          <w:tcPr>
            <w:tcW w:type="dxa" w:w="1301"/>
          </w:tcPr>
          <w:p>
            <w:pPr>
              <w:spacing w:after="0" w:before="0" w:line="240" w:lineRule="auto"/>
              <w:jc w:val="center"/>
            </w:pPr>
            <w:r>
              <w:rPr>
                <w:sz w:val="19"/>
              </w:rPr>
              <w:t>3B DenseNet-121</w:t>
            </w:r>
          </w:p>
        </w:tc>
        <w:tc>
          <w:tcPr>
            <w:tcW w:type="dxa" w:w="1301"/>
          </w:tcPr>
          <w:p>
            <w:pPr>
              <w:spacing w:after="0" w:before="0" w:line="240" w:lineRule="auto"/>
              <w:jc w:val="center"/>
            </w:pPr>
            <w:r>
              <w:rPr>
                <w:sz w:val="19"/>
              </w:rPr>
              <w:t>11,24M</w:t>
            </w:r>
          </w:p>
        </w:tc>
        <w:tc>
          <w:tcPr>
            <w:tcW w:type="dxa" w:w="1301"/>
          </w:tcPr>
          <w:p>
            <w:pPr>
              <w:spacing w:after="0" w:before="0" w:line="240" w:lineRule="auto"/>
              <w:jc w:val="center"/>
            </w:pPr>
            <w:r>
              <w:rPr>
                <w:sz w:val="19"/>
              </w:rPr>
              <w:t>121</w:t>
            </w:r>
          </w:p>
        </w:tc>
        <w:tc>
          <w:tcPr>
            <w:tcW w:type="dxa" w:w="1301"/>
          </w:tcPr>
          <w:p>
            <w:pPr>
              <w:spacing w:after="0" w:before="0" w:line="240" w:lineRule="auto"/>
              <w:jc w:val="center"/>
            </w:pPr>
            <w:r>
              <w:rPr>
                <w:sz w:val="19"/>
              </w:rPr>
              <w:t>Ertuğrul</w:t>
            </w:r>
          </w:p>
        </w:tc>
      </w:tr>
    </w:tbl>
    <w:p>
      <w:pPr>
        <w:spacing w:after="160"/>
      </w:pPr>
    </w:p>
    <w:p>
      <w:pPr>
        <w:spacing w:before="80" w:after="140"/>
        <w:jc w:val="both"/>
      </w:pPr>
      <w:r>
        <w:t xml:space="preserve">Buna iki </w:t>
      </w:r>
      <w:r>
        <w:rPr>
          <w:b/>
        </w:rPr>
        <w:t>temel çizgi</w:t>
      </w:r>
      <w:r>
        <w:t xml:space="preserve"> ekledik: sığ bir 3B CNN (SigCNN3D, 0,07M parametre) ve voksel tabanlı lineer SVM. Temel çizgiler olmadan "derin öğrenme işe yarıyor" demek mümkün değil — neye göre yarıyor?</w:t>
      </w:r>
    </w:p>
    <w:p>
      <w:pPr>
        <w:spacing w:before="80" w:after="140"/>
        <w:jc w:val="both"/>
      </w:pPr>
      <w:r>
        <w:t xml:space="preserve">Ödünç aldığımız kodların lisansları </w:t>
      </w:r>
      <w:r>
        <w:rPr>
          <w:rFonts w:ascii="Consolas" w:hAnsi="Consolas"/>
          <w:sz w:val="20"/>
        </w:rPr>
        <w:t>uygulama/&lt;model&gt;/LICENSE-*</w:t>
      </w:r>
      <w:r>
        <w:t xml:space="preserve"> altında duruyor. P14 (M3T Transformer) için bulduğumuz gayriresmî uygulama GPL-3.0 olduğu için depoya kod almadık, yalnız makaleyi okuyup inceleme notu yazdık.</w:t>
      </w:r>
    </w:p>
    <w:p>
      <w:pPr>
        <w:pStyle w:val="Heading2"/>
        <w:spacing w:before="280" w:after="140"/>
      </w:pPr>
      <w:r>
        <w:t>2.3 Açıklanabilirlik</w:t>
      </w:r>
    </w:p>
    <w:p>
      <w:pPr>
        <w:spacing w:before="80" w:after="140"/>
        <w:jc w:val="both"/>
      </w:pPr>
      <w:r>
        <w:t xml:space="preserve">Karar destek sistemi, kararının </w:t>
      </w:r>
      <w:r>
        <w:rPr>
          <w:i/>
        </w:rPr>
        <w:t>nereden</w:t>
      </w:r>
      <w:r>
        <w:t xml:space="preserve"> geldiğini gösteremiyorsa klinik ortamda kullanılamaz. Üç yöntemi gerçekleştirdik, her biri ilgili makalenin kendi yöntemi:</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Dosya</w:t>
            </w:r>
          </w:p>
        </w:tc>
        <w:tc>
          <w:tcPr>
            <w:tcW w:type="dxa" w:w="2900"/>
            <w:shd w:val="clear" w:color="auto" w:fill="E8EDF2"/>
          </w:tcPr>
          <w:p>
            <w:pPr>
              <w:spacing w:after="0" w:before="0" w:line="240" w:lineRule="auto"/>
              <w:jc w:val="center"/>
            </w:pPr>
            <w:r>
              <w:rPr>
                <w:b/>
                <w:sz w:val="19"/>
              </w:rPr>
              <w:t>Satır</w:t>
            </w:r>
          </w:p>
        </w:tc>
        <w:tc>
          <w:tcPr>
            <w:tcW w:type="dxa" w:w="2900"/>
            <w:shd w:val="clear" w:color="auto" w:fill="E8EDF2"/>
          </w:tcPr>
          <w:p>
            <w:pPr>
              <w:spacing w:after="0" w:before="0" w:line="240" w:lineRule="auto"/>
              <w:jc w:val="center"/>
            </w:pPr>
            <w:r>
              <w:rPr>
                <w:b/>
                <w:sz w:val="19"/>
              </w:rPr>
              <w:t>Yöntem</w:t>
            </w:r>
          </w:p>
        </w:tc>
      </w:tr>
      <w:tr>
        <w:tc>
          <w:tcPr>
            <w:tcW w:type="dxa" w:w="2988"/>
          </w:tcPr>
          <w:p>
            <w:pPr>
              <w:spacing w:after="0" w:before="0" w:line="240" w:lineRule="auto"/>
              <w:jc w:val="left"/>
            </w:pPr>
            <w:r>
              <w:rPr>
                <w:rFonts w:ascii="Consolas" w:hAnsi="Consolas"/>
                <w:sz w:val="19"/>
              </w:rPr>
              <w:t>gorkem_P06_bohle/lrp.py</w:t>
            </w:r>
          </w:p>
        </w:tc>
        <w:tc>
          <w:tcPr>
            <w:tcW w:type="dxa" w:w="2900"/>
          </w:tcPr>
          <w:p>
            <w:pPr>
              <w:spacing w:after="0" w:before="0" w:line="240" w:lineRule="auto"/>
              <w:jc w:val="center"/>
            </w:pPr>
            <w:r>
              <w:rPr>
                <w:sz w:val="19"/>
              </w:rPr>
              <w:t>259</w:t>
            </w:r>
          </w:p>
        </w:tc>
        <w:tc>
          <w:tcPr>
            <w:tcW w:type="dxa" w:w="2900"/>
          </w:tcPr>
          <w:p>
            <w:pPr>
              <w:spacing w:after="0" w:before="0" w:line="240" w:lineRule="auto"/>
              <w:jc w:val="center"/>
            </w:pPr>
            <w:r>
              <w:rPr>
                <w:sz w:val="19"/>
              </w:rPr>
              <w:t>Katman Bazlı İlgi Yayılımı (Böhle 2019'un kendi yöntemi)</w:t>
            </w:r>
          </w:p>
        </w:tc>
      </w:tr>
      <w:tr>
        <w:tc>
          <w:tcPr>
            <w:tcW w:type="dxa" w:w="2988"/>
          </w:tcPr>
          <w:p>
            <w:pPr>
              <w:spacing w:after="0" w:before="0" w:line="240" w:lineRule="auto"/>
              <w:jc w:val="left"/>
            </w:pPr>
            <w:r>
              <w:rPr>
                <w:rFonts w:ascii="Consolas" w:hAnsi="Consolas"/>
                <w:sz w:val="19"/>
              </w:rPr>
              <w:t>gorkem_P07_resattnet/gradcam.py</w:t>
            </w:r>
          </w:p>
        </w:tc>
        <w:tc>
          <w:tcPr>
            <w:tcW w:type="dxa" w:w="2900"/>
          </w:tcPr>
          <w:p>
            <w:pPr>
              <w:spacing w:after="0" w:before="0" w:line="240" w:lineRule="auto"/>
              <w:jc w:val="center"/>
            </w:pPr>
            <w:r>
              <w:rPr>
                <w:sz w:val="19"/>
              </w:rPr>
              <w:t>214</w:t>
            </w:r>
          </w:p>
        </w:tc>
        <w:tc>
          <w:tcPr>
            <w:tcW w:type="dxa" w:w="2900"/>
          </w:tcPr>
          <w:p>
            <w:pPr>
              <w:spacing w:after="0" w:before="0" w:line="240" w:lineRule="auto"/>
              <w:jc w:val="center"/>
            </w:pPr>
            <w:r>
              <w:rPr>
                <w:sz w:val="19"/>
              </w:rPr>
              <w:t>Grad-CAM, dikkat haritalarıyla birlikte</w:t>
            </w:r>
          </w:p>
        </w:tc>
      </w:tr>
      <w:tr>
        <w:tc>
          <w:tcPr>
            <w:tcW w:type="dxa" w:w="2988"/>
          </w:tcPr>
          <w:p>
            <w:pPr>
              <w:spacing w:after="0" w:before="0" w:line="240" w:lineRule="auto"/>
              <w:jc w:val="left"/>
            </w:pPr>
            <w:r>
              <w:rPr>
                <w:rFonts w:ascii="Consolas" w:hAnsi="Consolas"/>
                <w:sz w:val="19"/>
              </w:rPr>
              <w:t>ertugrul_P11_qiu_fcn/harita.py</w:t>
            </w:r>
          </w:p>
        </w:tc>
        <w:tc>
          <w:tcPr>
            <w:tcW w:type="dxa" w:w="2900"/>
          </w:tcPr>
          <w:p>
            <w:pPr>
              <w:spacing w:after="0" w:before="0" w:line="240" w:lineRule="auto"/>
              <w:jc w:val="center"/>
            </w:pPr>
            <w:r>
              <w:rPr>
                <w:sz w:val="19"/>
              </w:rPr>
              <w:t>161</w:t>
            </w:r>
          </w:p>
        </w:tc>
        <w:tc>
          <w:tcPr>
            <w:tcW w:type="dxa" w:w="2900"/>
          </w:tcPr>
          <w:p>
            <w:pPr>
              <w:spacing w:after="0" w:before="0" w:line="240" w:lineRule="auto"/>
              <w:jc w:val="center"/>
            </w:pPr>
            <w:r>
              <w:rPr>
                <w:sz w:val="19"/>
              </w:rPr>
              <w:t>Yama düzeyinde hastalık olasılık haritası (Qiu 2020)</w:t>
            </w:r>
          </w:p>
        </w:tc>
      </w:tr>
      <w:tr>
        <w:tc>
          <w:tcPr>
            <w:tcW w:type="dxa" w:w="2988"/>
          </w:tcPr>
          <w:p>
            <w:pPr>
              <w:spacing w:after="0" w:before="0" w:line="240" w:lineRule="auto"/>
              <w:jc w:val="left"/>
            </w:pPr>
            <w:r>
              <w:rPr>
                <w:rFonts w:ascii="Consolas" w:hAnsi="Consolas"/>
                <w:sz w:val="19"/>
              </w:rPr>
              <w:t>uygulama/api/isi_haritasi.py</w:t>
            </w:r>
          </w:p>
        </w:tc>
        <w:tc>
          <w:tcPr>
            <w:tcW w:type="dxa" w:w="2900"/>
          </w:tcPr>
          <w:p>
            <w:pPr>
              <w:spacing w:after="0" w:before="0" w:line="240" w:lineRule="auto"/>
              <w:jc w:val="center"/>
            </w:pPr>
            <w:r>
              <w:rPr>
                <w:sz w:val="19"/>
              </w:rPr>
              <w:t>180</w:t>
            </w:r>
          </w:p>
        </w:tc>
        <w:tc>
          <w:tcPr>
            <w:tcW w:type="dxa" w:w="2900"/>
          </w:tcPr>
          <w:p>
            <w:pPr>
              <w:spacing w:after="0" w:before="0" w:line="240" w:lineRule="auto"/>
              <w:jc w:val="center"/>
            </w:pPr>
            <w:r>
              <w:rPr>
                <w:sz w:val="19"/>
              </w:rPr>
              <w:t>Mimariden bağımsız Grad-CAM + tıkama (occlusion) duyarlılığı</w:t>
            </w:r>
          </w:p>
        </w:tc>
      </w:tr>
    </w:tbl>
    <w:p>
      <w:pPr>
        <w:spacing w:after="160"/>
      </w:pPr>
    </w:p>
    <w:p>
      <w:pPr>
        <w:spacing w:before="80" w:after="140"/>
        <w:jc w:val="both"/>
      </w:pPr>
      <w:r>
        <w:rPr>
          <w:rFonts w:ascii="Consolas" w:hAnsi="Consolas"/>
          <w:sz w:val="20"/>
        </w:rPr>
        <w:t>isi_haritasi.py</w:t>
      </w:r>
      <w:r>
        <w:t xml:space="preserve"> son </w:t>
      </w:r>
      <w:r>
        <w:rPr>
          <w:rFonts w:ascii="Consolas" w:hAnsi="Consolas"/>
          <w:sz w:val="20"/>
        </w:rPr>
        <w:t>Conv3d</w:t>
      </w:r>
      <w:r>
        <w:t xml:space="preserve"> katmanını kendiliğinden bulduğu için altı mimarinin hepsinde çalışıyor; model-özel yöntemler ise ilgili makalenin iddiasını sınamak için duruyor.</w:t>
      </w:r>
    </w:p>
    <w:p>
      <w:pPr>
        <w:pStyle w:val="Heading2"/>
        <w:spacing w:before="280" w:after="140"/>
      </w:pPr>
      <w:r>
        <w:t>2.4 Dağıtım zinciri</w:t>
      </w:r>
    </w:p>
    <w:p>
      <w:pPr>
        <w:spacing w:before="80" w:after="140"/>
        <w:jc w:val="both"/>
      </w:pPr>
      <w:r>
        <w:t>Eğitilmiş model bir dosyada kalırsa karar destek sistemi olmaz. Zinciri uçtan uca kurduk:</w:t>
      </w:r>
    </w:p>
    <w:p>
      <w:pPr>
        <w:spacing w:line="240" w:lineRule="auto" w:before="120" w:after="140"/>
        <w:ind w:left="283"/>
      </w:pPr>
      <w:r>
        <w:rPr>
          <w:rFonts w:ascii="Consolas" w:hAnsi="Consolas"/>
          <w:sz w:val="18"/>
        </w:rPr>
        <w:t>checkpoint (.pth)  →  onnx_disa_aktar.py  →  model.onnx  →  tahmin.py (KararDestek)  →  olasılık + ısı haritası</w:t>
      </w:r>
    </w:p>
    <w:p>
      <w:pPr>
        <w:spacing w:before="80" w:after="140"/>
        <w:jc w:val="both"/>
      </w:pPr>
      <w:r>
        <w:rPr>
          <w:rFonts w:ascii="Consolas" w:hAnsi="Consolas"/>
          <w:sz w:val="20"/>
        </w:rPr>
        <w:t>uygulama/api/tahmin.py</w:t>
      </w:r>
      <w:r>
        <w:t xml:space="preserve"> içindeki </w:t>
      </w:r>
      <w:r>
        <w:rPr>
          <w:rFonts w:ascii="Consolas" w:hAnsi="Consolas"/>
          <w:sz w:val="20"/>
        </w:rPr>
        <w:t>KararDestek</w:t>
      </w:r>
      <w:r>
        <w:t xml:space="preserve"> sınıfı ONNX modelini </w:t>
      </w:r>
      <w:r>
        <w:rPr>
          <w:rFonts w:ascii="Consolas" w:hAnsi="Consolas"/>
          <w:sz w:val="20"/>
        </w:rPr>
        <w:t>onnxruntime</w:t>
      </w:r>
      <w:r>
        <w:t xml:space="preserve"> ile yüklüyor, ham NIfTI'yi ön işleme hattından geçirip olasılık döndürüyor. PyTorch kurulu olmayan bir makinede de çalışıyor — hastane ortamında bu önemli bir kolaylık.</w:t>
      </w:r>
    </w:p>
    <w:p>
      <w:pPr>
        <w:spacing w:before="80" w:after="140"/>
        <w:jc w:val="both"/>
      </w:pPr>
      <w:r>
        <w:rPr>
          <w:b/>
        </w:rPr>
        <w:t>Bu zincirin çalıştığını her push'ta sürekli bütünleştirme doğruluyor:</w:t>
      </w:r>
      <w:r>
        <w:t xml:space="preserve"> sağlık testinin ürettiği checkpoint ONNX'e aktarılıyor, karar destek katmanı onu okuyup çıkarım yapıyor ve tablo üreteci koşu kaydından satır basıyor. Zincirin herhangi bir halkası kırılırsa rozet kırmızıya dönüyor.</w:t>
      </w:r>
    </w:p>
    <w:p>
      <w:pPr>
        <w:spacing w:before="120" w:after="160"/>
        <w:pBdr>
          <w:bottom w:val="single" w:sz="6" w:space="1" w:color="AAB6C0"/>
        </w:pBdr>
      </w:pPr>
    </w:p>
    <w:p>
      <w:pPr>
        <w:pStyle w:val="Heading1"/>
        <w:spacing w:before="360" w:after="180"/>
      </w:pPr>
      <w:r>
        <w:t>3. VERİ VE ÖN İŞLEME</w:t>
      </w:r>
    </w:p>
    <w:p>
      <w:pPr>
        <w:pStyle w:val="Heading2"/>
        <w:spacing w:before="280" w:after="140"/>
      </w:pPr>
      <w:r>
        <w:t>3.1 Gerçek veriyi nasıl bulduk</w:t>
      </w:r>
    </w:p>
    <w:p>
      <w:pPr>
        <w:spacing w:before="80" w:after="140"/>
        <w:jc w:val="both"/>
      </w:pPr>
      <w:r>
        <w:t xml:space="preserve">Ortak veri seti olarak ADNI1 1.5T temel taramalarını hedeflemiştik ve ADNI ile OASIS başvurularımızı yaptık; onay bekliyoruz. Onayı beklerken boş durmak yerine </w:t>
      </w:r>
      <w:r>
        <w:rPr>
          <w:b/>
        </w:rPr>
        <w:t>anında indirilebilen, etiketli, 3B T1</w:t>
      </w:r>
      <w:r>
        <w:t xml:space="preserve"> bir veri seti aradık. Bu arayış kendi başına bir bulguya dönüştü, çünkü böyle bir seti bulmak sanıldığı kadar kolay değil:</w:t>
      </w:r>
    </w:p>
    <w:p>
      <w:pPr>
        <w:pStyle w:val="ListBullet"/>
        <w:spacing w:before="40" w:after="40"/>
      </w:pPr>
      <w:r>
        <w:rPr>
          <w:b/>
        </w:rPr>
        <w:t>OpenNeuro'nun 2.522 veri setinin tamamını</w:t>
      </w:r>
      <w:r>
        <w:t xml:space="preserve"> program yazıp taradık (arama motoruyla değil, depo listesini çekip her birinin katılımcı dosyasına bakarak). AD etiketli, yeterli denek sayısı olan tek bir set bulamadık.</w:t>
      </w:r>
    </w:p>
    <w:p>
      <w:pPr>
        <w:pStyle w:val="ListBullet"/>
        <w:spacing w:before="40" w:after="40"/>
      </w:pPr>
      <w:r>
        <w:t xml:space="preserve">Kaggle'daki üç "ADNI/OASIS preprocessed" setini tek tek inceleyip </w:t>
      </w:r>
      <w:r>
        <w:rPr>
          <w:b/>
        </w:rPr>
        <w:t>reddettik</w:t>
      </w:r>
      <w:r>
        <w:t>: ya 2B dilim (dilim düzeyinde bölme sızıntı demek), ya denek kimliği yok (denek düzeyinde bölme yapılamaz), ya da veri kullanım sözleşmesine aykırı yeniden dağıtım.</w:t>
      </w:r>
    </w:p>
    <w:p>
      <w:pPr>
        <w:pStyle w:val="ListBullet"/>
        <w:spacing w:before="40" w:after="40"/>
      </w:pPr>
      <w:r>
        <w:t>ANMerge'in yalnız FreeSurfer tabloları olduğunu, görüntü içermediğini gördük.</w:t>
      </w:r>
    </w:p>
    <w:p>
      <w:pPr>
        <w:spacing w:before="80" w:after="140"/>
        <w:jc w:val="both"/>
      </w:pPr>
      <w:r>
        <w:t xml:space="preserve">Sonunda </w:t>
      </w:r>
      <w:r>
        <w:rPr>
          <w:b/>
        </w:rPr>
        <w:t>`radiata-ai/brain-structure`</w:t>
      </w:r>
      <w:r>
        <w:t xml:space="preserve"> koleksiyonunu bulduk. Bu koleksiyon beş çalışmayı birleştiriyor ve kritik olan şu: AD etiketli denekler </w:t>
      </w:r>
      <w:r>
        <w:rPr>
          <w:b/>
        </w:rPr>
        <w:t>yalnız OASIS'ten</w:t>
      </w:r>
      <w:r>
        <w:t xml:space="preserve"> geliyor, diğer üç kohort tamamen sağlıklı. Hepsini karıştırmak sınıf ile tarayıcıyı karıştırmak olurdu — model hastalığı değil cihazı öğrenirdi. Bu yüzden </w:t>
      </w:r>
      <w:r>
        <w:rPr>
          <w:b/>
        </w:rPr>
        <w:t>yalnız OASIS-1 + OASIS-2</w:t>
      </w:r>
      <w:r>
        <w:t xml:space="preserve"> alt kümesini indirdik; bu ikisi </w:t>
      </w:r>
      <w:r>
        <w:rPr>
          <w:b/>
        </w:rPr>
        <w:t>aynı tarayıcıda</w:t>
      </w:r>
      <w:r>
        <w:t xml:space="preserve"> çekilmiş (Siemens Vision 1,5T), dolayısıyla birleştirmek karıştırıcı yaratmıyor.</w:t>
      </w:r>
    </w:p>
    <w:p>
      <w:pPr>
        <w:spacing w:before="80" w:after="140"/>
        <w:jc w:val="both"/>
      </w:pPr>
      <w:r>
        <w:t xml:space="preserve">İndirdiğimiz: </w:t>
      </w:r>
      <w:r>
        <w:rPr>
          <w:b/>
        </w:rPr>
        <w:t>787 tarama, 1,6 GB.</w:t>
      </w:r>
    </w:p>
    <w:p>
      <w:pPr>
        <w:pStyle w:val="Heading2"/>
        <w:spacing w:before="280" w:after="140"/>
      </w:pPr>
      <w:r>
        <w:t>3.2 Denek seçimi — boylamsal veride tek oturum</w:t>
      </w:r>
    </w:p>
    <w:p>
      <w:pPr>
        <w:spacing w:before="80" w:after="140"/>
        <w:jc w:val="both"/>
      </w:pPr>
      <w:r>
        <w:t>Veri boylamsal: OASIS-2'de aynı deneğin beş oturumu olabiliyor. Etiket tablosunda her denek tek satır olmak zorunda (yoksa aynı kişi hem eğitimde hem testte olur), dolayısıyla oturum seçmek gerekiyor. Seçimi keyfi yapmadık, Wen vd. (2020) madde 2.2'yi uyguladık:</w:t>
      </w:r>
    </w:p>
    <w:p>
      <w:pPr>
        <w:pStyle w:val="ListBullet"/>
        <w:spacing w:before="40" w:after="40"/>
      </w:pPr>
      <w:r>
        <w:rPr>
          <w:b/>
        </w:rPr>
        <w:t>AD grubu:</w:t>
      </w:r>
      <w:r>
        <w:t xml:space="preserve"> deneğin </w:t>
      </w:r>
      <w:r>
        <w:rPr>
          <w:b/>
        </w:rPr>
        <w:t>ilk AD tanılı</w:t>
      </w:r>
      <w:r>
        <w:t xml:space="preserve"> oturumu. En geç oturumu almak atrofiyi yapay olarak büyütür (en ileri evreyi seçmek demektir); temel oturumu almak ise kişi henüz sağlıklıyken çekilmiş görüntüyü AD etiketlemek olur. İlk AD oturumu ikisinin de hatasını yapmıyor.</w:t>
      </w:r>
    </w:p>
    <w:p>
      <w:pPr>
        <w:pStyle w:val="ListBullet"/>
        <w:spacing w:before="40" w:after="40"/>
      </w:pPr>
      <w:r>
        <w:rPr>
          <w:b/>
        </w:rPr>
        <w:t>Kontrol grubu:</w:t>
      </w:r>
      <w:r>
        <w:t xml:space="preserve"> </w:t>
      </w:r>
      <w:r>
        <w:rPr>
          <w:b/>
        </w:rPr>
        <w:t>yalnız kararlı sağlıklılar</w:t>
      </w:r>
      <w:r>
        <w:t xml:space="preserve"> — hiçbir oturumunda AD tanısı almamış denekler.</w:t>
      </w:r>
    </w:p>
    <w:p>
      <w:pPr>
        <w:pStyle w:val="ListBullet"/>
        <w:spacing w:before="40" w:after="40"/>
      </w:pPr>
      <w:r>
        <w:rPr>
          <w:b/>
        </w:rPr>
        <w:t>OASIS-2'de 14 denek izlem süresince sağlıklıdan AD'ye dönüşüyor.</w:t>
      </w:r>
      <w:r>
        <w:t xml:space="preserve"> Bunları kontrol grubundan çıkardık ve AD grubuna kendi AD oturumlarıyla aldık. Dönüşen birini "sağlıklı" saymak kontrol grubunu kirletirdi: o kişinin beyninde hastalık süreci zaten başlamıştır, model onu haklı olarak AD'ye benzer bulur ve bunun için ceza alır.</w:t>
      </w:r>
    </w:p>
    <w:p>
      <w:pPr>
        <w:spacing w:before="80" w:after="140"/>
        <w:jc w:val="both"/>
      </w:pPr>
      <w:r>
        <w:t>Bu seçimin daha iyi olduğunu ölçtük:</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r>
          </w:p>
        </w:tc>
        <w:tc>
          <w:tcPr>
            <w:tcW w:type="dxa" w:w="2900"/>
            <w:shd w:val="clear" w:color="auto" w:fill="E8EDF2"/>
          </w:tcPr>
          <w:p>
            <w:pPr>
              <w:spacing w:after="0" w:before="0" w:line="240" w:lineRule="auto"/>
              <w:jc w:val="center"/>
            </w:pPr>
            <w:r>
              <w:rPr>
                <w:b/>
                <w:sz w:val="19"/>
              </w:rPr>
              <w:t>Temel oturum</w:t>
            </w:r>
          </w:p>
        </w:tc>
        <w:tc>
          <w:tcPr>
            <w:tcW w:type="dxa" w:w="2900"/>
            <w:shd w:val="clear" w:color="auto" w:fill="E8EDF2"/>
          </w:tcPr>
          <w:p>
            <w:pPr>
              <w:spacing w:after="0" w:before="0" w:line="240" w:lineRule="auto"/>
              <w:jc w:val="center"/>
            </w:pPr>
            <w:r>
              <w:rPr>
                <w:b/>
                <w:sz w:val="19"/>
              </w:rPr>
              <w:t>Kararlı kontrol + ilk AD oturumu</w:t>
            </w:r>
          </w:p>
        </w:tc>
      </w:tr>
      <w:tr>
        <w:tc>
          <w:tcPr>
            <w:tcW w:type="dxa" w:w="2988"/>
          </w:tcPr>
          <w:p>
            <w:pPr>
              <w:spacing w:after="0" w:before="0" w:line="240" w:lineRule="auto"/>
              <w:jc w:val="left"/>
            </w:pPr>
            <w:r>
              <w:rPr>
                <w:sz w:val="19"/>
              </w:rPr>
              <w:t>AD / sağlıklı</w:t>
            </w:r>
          </w:p>
        </w:tc>
        <w:tc>
          <w:tcPr>
            <w:tcW w:type="dxa" w:w="2900"/>
          </w:tcPr>
          <w:p>
            <w:pPr>
              <w:spacing w:after="0" w:before="0" w:line="240" w:lineRule="auto"/>
              <w:jc w:val="center"/>
            </w:pPr>
            <w:r>
              <w:rPr>
                <w:sz w:val="19"/>
              </w:rPr>
              <w:t>165 / 183</w:t>
            </w:r>
          </w:p>
        </w:tc>
        <w:tc>
          <w:tcPr>
            <w:tcW w:type="dxa" w:w="2900"/>
          </w:tcPr>
          <w:p>
            <w:pPr>
              <w:spacing w:after="0" w:before="0" w:line="240" w:lineRule="auto"/>
              <w:jc w:val="center"/>
            </w:pPr>
            <w:r>
              <w:rPr>
                <w:b/>
                <w:sz w:val="19"/>
              </w:rPr>
              <w:t>178 / 170</w:t>
            </w:r>
            <w:r>
              <w:rPr>
                <w:sz w:val="19"/>
              </w:rPr>
              <w:t xml:space="preserve"> (oran 0,96)</w:t>
            </w:r>
          </w:p>
        </w:tc>
      </w:tr>
      <w:tr>
        <w:tc>
          <w:tcPr>
            <w:tcW w:type="dxa" w:w="2988"/>
          </w:tcPr>
          <w:p>
            <w:pPr>
              <w:spacing w:after="0" w:before="0" w:line="240" w:lineRule="auto"/>
              <w:jc w:val="left"/>
            </w:pPr>
            <w:r>
              <w:rPr>
                <w:sz w:val="19"/>
              </w:rPr>
              <w:t>Yaş farkı (Welch)</w:t>
            </w:r>
          </w:p>
        </w:tc>
        <w:tc>
          <w:tcPr>
            <w:tcW w:type="dxa" w:w="2900"/>
          </w:tcPr>
          <w:p>
            <w:pPr>
              <w:spacing w:after="0" w:before="0" w:line="240" w:lineRule="auto"/>
              <w:jc w:val="center"/>
            </w:pPr>
            <w:r>
              <w:rPr>
                <w:sz w:val="19"/>
              </w:rPr>
              <w:t>p = 0,84</w:t>
            </w:r>
          </w:p>
        </w:tc>
        <w:tc>
          <w:tcPr>
            <w:tcW w:type="dxa" w:w="2900"/>
          </w:tcPr>
          <w:p>
            <w:pPr>
              <w:spacing w:after="0" w:before="0" w:line="240" w:lineRule="auto"/>
              <w:jc w:val="center"/>
            </w:pPr>
            <w:r>
              <w:rPr>
                <w:b/>
                <w:sz w:val="19"/>
              </w:rPr>
              <w:t>p = 0,39</w:t>
            </w:r>
          </w:p>
        </w:tc>
      </w:tr>
      <w:tr>
        <w:tc>
          <w:tcPr>
            <w:tcW w:type="dxa" w:w="2988"/>
          </w:tcPr>
          <w:p>
            <w:pPr>
              <w:spacing w:after="0" w:before="0" w:line="240" w:lineRule="auto"/>
              <w:jc w:val="left"/>
            </w:pPr>
            <w:r>
              <w:rPr>
                <w:sz w:val="19"/>
              </w:rPr>
              <w:t>OASIS-2 dengesi</w:t>
            </w:r>
          </w:p>
        </w:tc>
        <w:tc>
          <w:tcPr>
            <w:tcW w:type="dxa" w:w="2900"/>
          </w:tcPr>
          <w:p>
            <w:pPr>
              <w:spacing w:after="0" w:before="0" w:line="240" w:lineRule="auto"/>
              <w:jc w:val="center"/>
            </w:pPr>
            <w:r>
              <w:rPr>
                <w:sz w:val="19"/>
              </w:rPr>
              <w:t>65 AD / 85 NC</w:t>
            </w:r>
          </w:p>
        </w:tc>
        <w:tc>
          <w:tcPr>
            <w:tcW w:type="dxa" w:w="2900"/>
          </w:tcPr>
          <w:p>
            <w:pPr>
              <w:spacing w:after="0" w:before="0" w:line="240" w:lineRule="auto"/>
              <w:jc w:val="center"/>
            </w:pPr>
            <w:r>
              <w:rPr>
                <w:b/>
                <w:sz w:val="19"/>
              </w:rPr>
              <w:t>78 AD / 72 NC</w:t>
            </w:r>
          </w:p>
        </w:tc>
      </w:tr>
    </w:tbl>
    <w:p>
      <w:pPr>
        <w:spacing w:after="160"/>
      </w:pPr>
    </w:p>
    <w:p>
      <w:pPr>
        <w:spacing w:before="80" w:after="140"/>
        <w:jc w:val="both"/>
      </w:pPr>
      <w:r>
        <w:rPr>
          <w:b/>
        </w:rPr>
        <w:t>Yaş süzgeci.</w:t>
      </w:r>
      <w:r>
        <w:t xml:space="preserve"> Süzgeç uygulamazsak kontrol grubunun yaş ortalaması 51,8'e düşüyor (OASIS-1'de 18 yaşından itibaren gönüllü var), AD grubunun ise 76. Böyle bir veriyle eğitilen model Alzheimer'ı değil </w:t>
      </w:r>
      <w:r>
        <w:rPr>
          <w:b/>
        </w:rPr>
        <w:t>yaşı</w:t>
      </w:r>
      <w:r>
        <w:t xml:space="preserve"> öğrenir. Yaş ≥ 60 süzgeciyle fark istatistiksel olarak kayboluyor.</w:t>
      </w:r>
    </w:p>
    <w:p>
      <w:pPr>
        <w:spacing w:before="80" w:after="140"/>
        <w:jc w:val="both"/>
      </w:pPr>
      <w:r>
        <w:rPr>
          <w:b/>
        </w:rPr>
        <w:t>Son veri kümesi: 348 denek — 178 AD / 170 sağlıklı.</w:t>
      </w:r>
      <w:r>
        <w:t xml:space="preserve"> OASIS-1: 100 AD / 98 NC · OASIS-2: 78 AD / 72 NC — her iki sınıf her iki kohortta mevcut.</w:t>
      </w:r>
    </w:p>
    <w:p>
      <w:pPr>
        <w:pStyle w:val="Heading2"/>
        <w:spacing w:before="280" w:after="140"/>
      </w:pPr>
      <w:r>
        <w:t>3.3 Ön işleme hattı</w:t>
      </w:r>
    </w:p>
    <w:p>
      <w:pPr>
        <w:spacing w:before="80" w:after="140"/>
        <w:jc w:val="both"/>
      </w:pPr>
      <w:r>
        <w:rPr>
          <w:rFonts w:ascii="Consolas" w:hAnsi="Consolas"/>
          <w:sz w:val="20"/>
        </w:rPr>
        <w:t>onisleme/onisle.py</w:t>
      </w:r>
      <w:r>
        <w:t xml:space="preserve"> (497 satır) şu adımları uyguluyor:</w:t>
      </w:r>
    </w:p>
    <w:p>
      <w:pPr>
        <w:spacing w:line="240" w:lineRule="auto" w:before="120" w:after="0"/>
        <w:ind w:left="283"/>
      </w:pPr>
      <w:r>
        <w:rPr>
          <w:rFonts w:ascii="Consolas" w:hAnsi="Consolas"/>
          <w:sz w:val="18"/>
        </w:rPr>
        <w:t>oku → kafatası ayıklama (HD-BET) → N4 bias düzeltme → MNI152 afin kayıt</w:t>
      </w:r>
    </w:p>
    <w:p>
      <w:pPr>
        <w:spacing w:line="240" w:lineRule="auto" w:before="0" w:after="140"/>
        <w:ind w:left="283"/>
      </w:pPr>
      <w:r>
        <w:rPr>
          <w:rFonts w:ascii="Consolas" w:hAnsi="Consolas"/>
          <w:sz w:val="18"/>
        </w:rPr>
        <w:t xml:space="preserve">    → maske içi z-score → kırpma ve 128³'e boyutlandırma → float16 .npy + meta JSON</w:t>
      </w:r>
    </w:p>
    <w:p>
      <w:pPr>
        <w:spacing w:before="80" w:after="140"/>
        <w:jc w:val="both"/>
      </w:pPr>
      <w:r>
        <w:t xml:space="preserve">Adım sırası Wen vd. (2020) </w:t>
      </w:r>
      <w:r>
        <w:rPr>
          <w:rFonts w:ascii="Consolas" w:hAnsi="Consolas"/>
          <w:sz w:val="20"/>
        </w:rPr>
        <w:t>t1-linear</w:t>
      </w:r>
      <w:r>
        <w:t xml:space="preserve"> hattını izliyor ve bu sıra </w:t>
      </w:r>
      <w:r>
        <w:rPr>
          <w:b/>
        </w:rPr>
        <w:t>önemli</w:t>
      </w:r>
      <w:r>
        <w:t xml:space="preserve">: normalizasyon kayıttan </w:t>
      </w:r>
      <w:r>
        <w:rPr>
          <w:i/>
        </w:rPr>
        <w:t>sonra</w:t>
      </w:r>
      <w:r>
        <w:t xml:space="preserve"> yapılıyor. Başta ters yapmıştık ve kayıt her hacimde çöktü (§8.1).</w:t>
      </w:r>
    </w:p>
    <w:p>
      <w:pPr>
        <w:spacing w:before="80" w:after="140"/>
        <w:jc w:val="both"/>
      </w:pPr>
      <w:r>
        <w:t xml:space="preserve">Radiata verisi kaynağında zaten kafatası ayıklanmış ve MNI'ye hizalanmış olduğu için </w:t>
      </w:r>
      <w:r>
        <w:rPr>
          <w:rFonts w:ascii="Consolas" w:hAnsi="Consolas"/>
          <w:sz w:val="20"/>
        </w:rPr>
        <w:t>--kafatasi hazir --kayit yok</w:t>
      </w:r>
      <w:r>
        <w:t xml:space="preserve"> hafif yolunu kullandık: yalnız maske, z-score ve boyutlandırma. </w:t>
      </w:r>
      <w:r>
        <w:rPr>
          <w:b/>
        </w:rPr>
        <w:t>787 taramanın 787'si işlendi, hacim başına 0,1 saniye, tek uyarı yok, çıktı 3,1 GB.</w:t>
      </w:r>
    </w:p>
    <w:p>
      <w:pPr>
        <w:spacing w:before="80" w:after="140"/>
        <w:jc w:val="both"/>
      </w:pPr>
      <w:r>
        <w:rPr>
          <w:b/>
        </w:rPr>
        <w:t>Ön işleme kaynağı konusunda şeffaflık.</w:t>
      </w:r>
      <w:r>
        <w:t xml:space="preserve"> Radiata'nın hattı CAT12 + FSL FLIRT (12 serbestlik dereceli afin) kullanıyor ve hedef şablonu </w:t>
      </w:r>
      <w:r>
        <w:rPr>
          <w:rFonts w:ascii="Consolas" w:hAnsi="Consolas"/>
          <w:sz w:val="20"/>
        </w:rPr>
        <w:t>MNI152NLin2009cAsym</w:t>
      </w:r>
      <w:r>
        <w:t xml:space="preserve"> — </w:t>
      </w:r>
      <w:r>
        <w:rPr>
          <w:b/>
        </w:rPr>
        <w:t>bizim hattımızla aynı şablon.</w:t>
      </w:r>
      <w:r>
        <w:t xml:space="preserve"> Bu beklenmedik bir şans: iki hat farklı araçlar kullanıyor ama aynı standart uzayı hedefliyor. ADNI onayı geldiğinde ham veriyi kendi hattımızdan geçirmeyi planlıyoruz, böylece her şey tek hatla üretilmiş olur.</w:t>
      </w:r>
    </w:p>
    <w:p>
      <w:pPr>
        <w:spacing w:before="120" w:after="160"/>
        <w:pBdr>
          <w:bottom w:val="single" w:sz="6" w:space="1" w:color="AAB6C0"/>
        </w:pBdr>
      </w:pPr>
    </w:p>
    <w:p>
      <w:pPr>
        <w:pStyle w:val="Heading1"/>
        <w:spacing w:before="360" w:after="180"/>
      </w:pPr>
      <w:r>
        <w:t>4. ADİL KARŞILAŞTIRMA PROTOKOLÜ VE SIZINTI DENETİMİ</w:t>
      </w:r>
    </w:p>
    <w:p>
      <w:pPr>
        <w:spacing w:before="80" w:after="140"/>
        <w:jc w:val="both"/>
      </w:pPr>
      <w:r>
        <w:rPr>
          <w:rFonts w:ascii="Consolas" w:hAnsi="Consolas"/>
          <w:sz w:val="20"/>
        </w:rPr>
        <w:t>uygulama/PROTOKOL.md</w:t>
      </w:r>
      <w:r>
        <w:t xml:space="preserve"> bağlayıcı kurallarımızı tutuyor. Uygulamadaki karşılıkları:</w:t>
      </w:r>
    </w:p>
    <w:p>
      <w:pPr>
        <w:spacing w:before="80" w:after="140"/>
        <w:jc w:val="both"/>
      </w:pPr>
      <w:r>
        <w:rPr>
          <w:b/>
        </w:rPr>
        <w:t>Denek düzeyinde bölme.</w:t>
      </w:r>
      <w:r>
        <w:t xml:space="preserve"> Bölme </w:t>
      </w:r>
      <w:r>
        <w:rPr>
          <w:rFonts w:ascii="Consolas" w:hAnsi="Consolas"/>
          <w:sz w:val="20"/>
        </w:rPr>
        <w:t>StratifiedGroupKFold</w:t>
      </w:r>
      <w:r>
        <w:t xml:space="preserve"> ile denek kimliği üzerinden yapılıyor: kilitli test </w:t>
      </w:r>
      <w:r>
        <w:rPr>
          <w:b/>
        </w:rPr>
        <w:t>53 denek</w:t>
      </w:r>
      <w:r>
        <w:t xml:space="preserve">, çapraz doğrulama </w:t>
      </w:r>
      <w:r>
        <w:rPr>
          <w:b/>
        </w:rPr>
        <w:t>295 denek</w:t>
      </w:r>
      <w:r>
        <w:t xml:space="preserve">, </w:t>
      </w:r>
      <w:r>
        <w:rPr>
          <w:b/>
        </w:rPr>
        <w:t>5 kat</w:t>
      </w:r>
      <w:r>
        <w:t>. Katlar kohort × sınıf dengeli, yani her kat hem AD/NC oranını hem OASIS-1/OASIS-2 oranını koruyor.</w:t>
      </w:r>
    </w:p>
    <w:p>
      <w:pPr>
        <w:spacing w:before="80" w:after="140"/>
        <w:jc w:val="both"/>
      </w:pPr>
      <w:r>
        <w:rPr>
          <w:b/>
        </w:rPr>
        <w:t>Sızıntı denetimi.</w:t>
      </w:r>
      <w:r>
        <w:t xml:space="preserve"> </w:t>
      </w:r>
      <w:r>
        <w:rPr>
          <w:rFonts w:ascii="Consolas" w:hAnsi="Consolas"/>
          <w:sz w:val="20"/>
        </w:rPr>
        <w:t>bolme.py dogrula</w:t>
      </w:r>
      <w:r>
        <w:t xml:space="preserve"> test ve CV kümelerinin denek kimliklerini kesiştiriyor ve kesişim boş olmak zorunda. Çıktı: </w:t>
      </w:r>
      <w:r>
        <w:rPr>
          <w:b/>
        </w:rPr>
        <w:t>TEMİZ — 0 kesişim.</w:t>
      </w:r>
    </w:p>
    <w:p>
      <w:pPr>
        <w:spacing w:before="80" w:after="140"/>
        <w:jc w:val="both"/>
      </w:pPr>
      <w:r>
        <w:rPr>
          <w:b/>
        </w:rPr>
        <w:t>Test kümesi bir kez açılıyor.</w:t>
      </w:r>
      <w:r>
        <w:t xml:space="preserve"> Hiperparametre ve öğrenme oranı seçimi yalnız doğrulama katları üzerinden yapılıyor. </w:t>
      </w:r>
      <w:r>
        <w:rPr>
          <w:rFonts w:ascii="Consolas" w:hAnsi="Consolas"/>
          <w:sz w:val="20"/>
        </w:rPr>
        <w:t>tablo_uret.py</w:t>
      </w:r>
      <w:r>
        <w:t xml:space="preserve"> bunu kodla zorluyor: öğrenme oranı taraması varsa doğrulama dengeli doğruluğuna göre tek değer seçiliyor, test metrikleri yalnız raporlanıyor.</w:t>
      </w:r>
    </w:p>
    <w:p>
      <w:pPr>
        <w:spacing w:before="80" w:after="140"/>
        <w:jc w:val="both"/>
      </w:pPr>
      <w:r>
        <w:rPr>
          <w:b/>
        </w:rPr>
        <w:t>Aynı eğitim yordamı.</w:t>
      </w:r>
      <w:r>
        <w:t xml:space="preserve"> Bütün modeller aynı optimizatör (AdamW), aynı öğrenme oranı, aynı girdi boyutu (128³), aynı artırma kümesi ve </w:t>
      </w:r>
      <w:r>
        <w:rPr>
          <w:b/>
        </w:rPr>
        <w:t>aynı etkin batch</w:t>
      </w:r>
      <w:r>
        <w:t xml:space="preserve"> ile eğitiliyor. VRAM'e sığmayan modeller </w:t>
      </w:r>
      <w:r>
        <w:rPr>
          <w:rFonts w:ascii="Consolas" w:hAnsi="Consolas"/>
          <w:sz w:val="20"/>
        </w:rPr>
        <w:t>--batch 2 --accum 2</w:t>
      </w:r>
      <w:r>
        <w:t xml:space="preserve"> kullanıyor; etkin batch 4'te sabit kaldığı için karşılaştırma bozulmuyor.</w:t>
      </w:r>
    </w:p>
    <w:p>
      <w:pPr>
        <w:spacing w:before="80" w:after="140"/>
        <w:jc w:val="both"/>
      </w:pPr>
      <w:r>
        <w:rPr>
          <w:b/>
        </w:rPr>
        <w:t>Paylaşılan bölme, paylaşılmayan veri.</w:t>
      </w:r>
      <w:r>
        <w:t xml:space="preserve"> Bölme haritasını (</w:t>
      </w:r>
      <w:r>
        <w:rPr>
          <w:rFonts w:ascii="Consolas" w:hAnsi="Consolas"/>
          <w:sz w:val="20"/>
        </w:rPr>
        <w:t>oasis_bolme_haritasi.csv</w:t>
      </w:r>
      <w:r>
        <w:t xml:space="preserve">) depoya koyuyoruz — yalnız denek kimliği, bölüm ve kat numarası, hiçbir klinik sütun yok. Böylece üç kişi de birebir aynı bölmeyi kullanıyor ama veri kullanım sözleşmesi ihlal edilmiyor. Görüntüleri ve ağırlıkları </w:t>
      </w:r>
      <w:r>
        <w:rPr>
          <w:rFonts w:ascii="Consolas" w:hAnsi="Consolas"/>
          <w:sz w:val="20"/>
        </w:rPr>
        <w:t>.gitignore</w:t>
      </w:r>
      <w:r>
        <w:t xml:space="preserve"> dışlıyor; herkes veriyi kendi hesabıyla indiriyor.</w:t>
      </w:r>
    </w:p>
    <w:p>
      <w:pPr>
        <w:spacing w:before="120" w:after="160"/>
        <w:pBdr>
          <w:bottom w:val="single" w:sz="6" w:space="1" w:color="AAB6C0"/>
        </w:pBdr>
      </w:pPr>
    </w:p>
    <w:p>
      <w:pPr>
        <w:pStyle w:val="Heading1"/>
        <w:spacing w:before="360" w:after="180"/>
      </w:pPr>
      <w:r>
        <w:t>5. DENEYSEL SONUÇLAR</w:t>
      </w:r>
    </w:p>
    <w:p>
      <w:pPr>
        <w:pStyle w:val="Heading2"/>
        <w:spacing w:before="280" w:after="140"/>
      </w:pPr>
      <w:r>
        <w:t>5.1 Koşu düzeneği</w:t>
      </w:r>
    </w:p>
    <w:p>
      <w:pPr>
        <w:spacing w:before="80" w:after="140"/>
        <w:jc w:val="both"/>
      </w:pPr>
      <w:r>
        <w:t xml:space="preserve">RTX 3050 Laptop (4 GB) üzerinde, AD vs sağlıklı ikili görevinde, tohum 2026, en çok 60 epoch, erken durdurma sabrı 12. Aşağıdaki tablo </w:t>
      </w:r>
      <w:r>
        <w:rPr>
          <w:b/>
        </w:rPr>
        <w:t>kat 0</w:t>
      </w:r>
      <w:r>
        <w:t xml:space="preserve"> ölçümleridir; 1–4. katlar koşmaya devam ediyor.</w:t>
      </w:r>
    </w:p>
    <w:p>
      <w:pPr>
        <w:pStyle w:val="Heading2"/>
        <w:spacing w:before="280" w:after="140"/>
      </w:pPr>
      <w:r>
        <w:t>5.2 Kat 0 sonuçları</w:t>
      </w:r>
    </w:p>
    <w:tbl>
      <w:tblPr>
        <w:tblStyle w:val="TableGrid"/>
        <w:tblW w:type="auto" w:w="0"/>
        <w:jc w:val="center"/>
        <w:tblLayout w:type="fixed"/>
        <w:tblLook w:firstColumn="1" w:firstRow="1" w:lastColumn="0" w:lastRow="0" w:noHBand="0" w:noVBand="1" w:val="04A0"/>
      </w:tblPr>
      <w:tblGrid>
        <w:gridCol w:w="976"/>
        <w:gridCol w:w="976"/>
        <w:gridCol w:w="976"/>
        <w:gridCol w:w="976"/>
        <w:gridCol w:w="976"/>
        <w:gridCol w:w="976"/>
        <w:gridCol w:w="976"/>
        <w:gridCol w:w="976"/>
        <w:gridCol w:w="976"/>
      </w:tblGrid>
      <w:tr>
        <w:tc>
          <w:tcPr>
            <w:tcW w:type="dxa" w:w="2285"/>
            <w:shd w:val="clear" w:color="auto" w:fill="E8EDF2"/>
          </w:tcPr>
          <w:p>
            <w:pPr>
              <w:spacing w:after="0" w:before="0" w:line="240" w:lineRule="auto"/>
              <w:jc w:val="left"/>
            </w:pPr>
            <w:r>
              <w:rPr>
                <w:b/>
                <w:sz w:val="19"/>
              </w:rPr>
              <w:t>Model</w:t>
            </w:r>
          </w:p>
        </w:tc>
        <w:tc>
          <w:tcPr>
            <w:tcW w:type="dxa" w:w="813"/>
            <w:shd w:val="clear" w:color="auto" w:fill="E8EDF2"/>
          </w:tcPr>
          <w:p>
            <w:pPr>
              <w:spacing w:after="0" w:before="0" w:line="240" w:lineRule="auto"/>
              <w:jc w:val="center"/>
            </w:pPr>
            <w:r>
              <w:rPr>
                <w:b/>
                <w:sz w:val="19"/>
              </w:rPr>
              <w:t>Parametre</w:t>
            </w:r>
          </w:p>
        </w:tc>
        <w:tc>
          <w:tcPr>
            <w:tcW w:type="dxa" w:w="813"/>
            <w:shd w:val="clear" w:color="auto" w:fill="E8EDF2"/>
          </w:tcPr>
          <w:p>
            <w:pPr>
              <w:spacing w:after="0" w:before="0" w:line="240" w:lineRule="auto"/>
              <w:jc w:val="center"/>
            </w:pPr>
            <w:r>
              <w:rPr>
                <w:b/>
                <w:sz w:val="19"/>
              </w:rPr>
              <w:t>Doğrulama BAcc</w:t>
            </w:r>
          </w:p>
        </w:tc>
        <w:tc>
          <w:tcPr>
            <w:tcW w:type="dxa" w:w="813"/>
            <w:shd w:val="clear" w:color="auto" w:fill="E8EDF2"/>
          </w:tcPr>
          <w:p>
            <w:pPr>
              <w:spacing w:after="0" w:before="0" w:line="240" w:lineRule="auto"/>
              <w:jc w:val="center"/>
            </w:pPr>
            <w:r>
              <w:rPr>
                <w:b/>
                <w:sz w:val="19"/>
              </w:rPr>
              <w:t>Test BAcc</w:t>
            </w:r>
          </w:p>
        </w:tc>
        <w:tc>
          <w:tcPr>
            <w:tcW w:type="dxa" w:w="813"/>
            <w:shd w:val="clear" w:color="auto" w:fill="E8EDF2"/>
          </w:tcPr>
          <w:p>
            <w:pPr>
              <w:spacing w:after="0" w:before="0" w:line="240" w:lineRule="auto"/>
              <w:jc w:val="center"/>
            </w:pPr>
            <w:r>
              <w:rPr>
                <w:b/>
                <w:sz w:val="19"/>
              </w:rPr>
              <w:t>Test AUC</w:t>
            </w:r>
          </w:p>
        </w:tc>
        <w:tc>
          <w:tcPr>
            <w:tcW w:type="dxa" w:w="813"/>
            <w:shd w:val="clear" w:color="auto" w:fill="E8EDF2"/>
          </w:tcPr>
          <w:p>
            <w:pPr>
              <w:spacing w:after="0" w:before="0" w:line="240" w:lineRule="auto"/>
              <w:jc w:val="center"/>
            </w:pPr>
            <w:r>
              <w:rPr>
                <w:b/>
                <w:sz w:val="19"/>
              </w:rPr>
              <w:t>Duyarlılık</w:t>
            </w:r>
          </w:p>
        </w:tc>
        <w:tc>
          <w:tcPr>
            <w:tcW w:type="dxa" w:w="813"/>
            <w:shd w:val="clear" w:color="auto" w:fill="E8EDF2"/>
          </w:tcPr>
          <w:p>
            <w:pPr>
              <w:spacing w:after="0" w:before="0" w:line="240" w:lineRule="auto"/>
              <w:jc w:val="center"/>
            </w:pPr>
            <w:r>
              <w:rPr>
                <w:b/>
                <w:sz w:val="19"/>
              </w:rPr>
              <w:t>Özgüllük</w:t>
            </w:r>
          </w:p>
        </w:tc>
        <w:tc>
          <w:tcPr>
            <w:tcW w:type="dxa" w:w="813"/>
            <w:shd w:val="clear" w:color="auto" w:fill="E8EDF2"/>
          </w:tcPr>
          <w:p>
            <w:pPr>
              <w:spacing w:after="0" w:before="0" w:line="240" w:lineRule="auto"/>
              <w:jc w:val="center"/>
            </w:pPr>
            <w:r>
              <w:rPr>
                <w:b/>
                <w:sz w:val="19"/>
              </w:rPr>
              <w:t>Doğrulama→test boşluğu</w:t>
            </w:r>
          </w:p>
        </w:tc>
        <w:tc>
          <w:tcPr>
            <w:tcW w:type="dxa" w:w="813"/>
            <w:shd w:val="clear" w:color="auto" w:fill="E8EDF2"/>
          </w:tcPr>
          <w:p>
            <w:pPr>
              <w:spacing w:after="0" w:before="0" w:line="240" w:lineRule="auto"/>
              <w:jc w:val="center"/>
            </w:pPr>
            <w:r>
              <w:rPr>
                <w:b/>
                <w:sz w:val="19"/>
              </w:rPr>
              <w:t>Süre</w:t>
            </w:r>
          </w:p>
        </w:tc>
      </w:tr>
      <w:tr>
        <w:tc>
          <w:tcPr>
            <w:tcW w:type="dxa" w:w="2285"/>
          </w:tcPr>
          <w:p>
            <w:pPr>
              <w:spacing w:after="0" w:before="0" w:line="240" w:lineRule="auto"/>
              <w:jc w:val="left"/>
            </w:pPr>
            <w:r>
              <w:rPr>
                <w:b/>
                <w:sz w:val="19"/>
              </w:rPr>
              <w:t>P12 DenseNet121</w:t>
            </w:r>
          </w:p>
        </w:tc>
        <w:tc>
          <w:tcPr>
            <w:tcW w:type="dxa" w:w="813"/>
          </w:tcPr>
          <w:p>
            <w:pPr>
              <w:spacing w:after="0" w:before="0" w:line="240" w:lineRule="auto"/>
              <w:jc w:val="center"/>
            </w:pPr>
            <w:r>
              <w:rPr>
                <w:sz w:val="19"/>
              </w:rPr>
              <w:t>11,24M</w:t>
            </w:r>
          </w:p>
        </w:tc>
        <w:tc>
          <w:tcPr>
            <w:tcW w:type="dxa" w:w="813"/>
          </w:tcPr>
          <w:p>
            <w:pPr>
              <w:spacing w:after="0" w:before="0" w:line="240" w:lineRule="auto"/>
              <w:jc w:val="center"/>
            </w:pPr>
            <w:r>
              <w:rPr>
                <w:sz w:val="19"/>
              </w:rPr>
              <w:t>0,760</w:t>
            </w:r>
          </w:p>
        </w:tc>
        <w:tc>
          <w:tcPr>
            <w:tcW w:type="dxa" w:w="813"/>
          </w:tcPr>
          <w:p>
            <w:pPr>
              <w:spacing w:after="0" w:before="0" w:line="240" w:lineRule="auto"/>
              <w:jc w:val="center"/>
            </w:pPr>
            <w:r>
              <w:rPr>
                <w:sz w:val="19"/>
              </w:rPr>
              <w:t>0,697</w:t>
            </w:r>
          </w:p>
        </w:tc>
        <w:tc>
          <w:tcPr>
            <w:tcW w:type="dxa" w:w="813"/>
          </w:tcPr>
          <w:p>
            <w:pPr>
              <w:spacing w:after="0" w:before="0" w:line="240" w:lineRule="auto"/>
              <w:jc w:val="center"/>
            </w:pPr>
            <w:r>
              <w:rPr>
                <w:b/>
                <w:sz w:val="19"/>
              </w:rPr>
              <w:t>0,792</w:t>
            </w:r>
          </w:p>
        </w:tc>
        <w:tc>
          <w:tcPr>
            <w:tcW w:type="dxa" w:w="813"/>
          </w:tcPr>
          <w:p>
            <w:pPr>
              <w:spacing w:after="0" w:before="0" w:line="240" w:lineRule="auto"/>
              <w:jc w:val="center"/>
            </w:pPr>
            <w:r>
              <w:rPr>
                <w:sz w:val="19"/>
              </w:rPr>
              <w:t>0,778</w:t>
            </w:r>
          </w:p>
        </w:tc>
        <w:tc>
          <w:tcPr>
            <w:tcW w:type="dxa" w:w="813"/>
          </w:tcPr>
          <w:p>
            <w:pPr>
              <w:spacing w:after="0" w:before="0" w:line="240" w:lineRule="auto"/>
              <w:jc w:val="center"/>
            </w:pPr>
            <w:r>
              <w:rPr>
                <w:sz w:val="19"/>
              </w:rPr>
              <w:t>0,615</w:t>
            </w:r>
          </w:p>
        </w:tc>
        <w:tc>
          <w:tcPr>
            <w:tcW w:type="dxa" w:w="813"/>
          </w:tcPr>
          <w:p>
            <w:pPr>
              <w:spacing w:after="0" w:before="0" w:line="240" w:lineRule="auto"/>
              <w:jc w:val="center"/>
            </w:pPr>
            <w:r>
              <w:rPr>
                <w:sz w:val="19"/>
              </w:rPr>
              <w:t>+0,064</w:t>
            </w:r>
          </w:p>
        </w:tc>
        <w:tc>
          <w:tcPr>
            <w:tcW w:type="dxa" w:w="813"/>
          </w:tcPr>
          <w:p>
            <w:pPr>
              <w:spacing w:after="0" w:before="0" w:line="240" w:lineRule="auto"/>
              <w:jc w:val="center"/>
            </w:pPr>
            <w:r>
              <w:rPr>
                <w:sz w:val="19"/>
              </w:rPr>
              <w:t>23,8 dk</w:t>
            </w:r>
          </w:p>
        </w:tc>
      </w:tr>
      <w:tr>
        <w:tc>
          <w:tcPr>
            <w:tcW w:type="dxa" w:w="2285"/>
          </w:tcPr>
          <w:p>
            <w:pPr>
              <w:spacing w:after="0" w:before="0" w:line="240" w:lineRule="auto"/>
              <w:jc w:val="left"/>
            </w:pPr>
            <w:r>
              <w:rPr>
                <w:b/>
                <w:sz w:val="19"/>
              </w:rPr>
              <w:t>P02 MedicalNet (ön eğitimli)</w:t>
            </w:r>
          </w:p>
        </w:tc>
        <w:tc>
          <w:tcPr>
            <w:tcW w:type="dxa" w:w="813"/>
          </w:tcPr>
          <w:p>
            <w:pPr>
              <w:spacing w:after="0" w:before="0" w:line="240" w:lineRule="auto"/>
              <w:jc w:val="center"/>
            </w:pPr>
            <w:r>
              <w:rPr>
                <w:sz w:val="19"/>
              </w:rPr>
              <w:t>32,99M</w:t>
            </w:r>
          </w:p>
        </w:tc>
        <w:tc>
          <w:tcPr>
            <w:tcW w:type="dxa" w:w="813"/>
          </w:tcPr>
          <w:p>
            <w:pPr>
              <w:spacing w:after="0" w:before="0" w:line="240" w:lineRule="auto"/>
              <w:jc w:val="center"/>
            </w:pPr>
            <w:r>
              <w:rPr>
                <w:sz w:val="19"/>
              </w:rPr>
              <w:t>0,706</w:t>
            </w:r>
          </w:p>
        </w:tc>
        <w:tc>
          <w:tcPr>
            <w:tcW w:type="dxa" w:w="813"/>
          </w:tcPr>
          <w:p>
            <w:pPr>
              <w:spacing w:after="0" w:before="0" w:line="240" w:lineRule="auto"/>
              <w:jc w:val="center"/>
            </w:pPr>
            <w:r>
              <w:rPr>
                <w:b/>
                <w:sz w:val="19"/>
              </w:rPr>
              <w:t>0,700</w:t>
            </w:r>
          </w:p>
        </w:tc>
        <w:tc>
          <w:tcPr>
            <w:tcW w:type="dxa" w:w="813"/>
          </w:tcPr>
          <w:p>
            <w:pPr>
              <w:spacing w:after="0" w:before="0" w:line="240" w:lineRule="auto"/>
              <w:jc w:val="center"/>
            </w:pPr>
            <w:r>
              <w:rPr>
                <w:sz w:val="19"/>
              </w:rPr>
              <w:t>0,758</w:t>
            </w:r>
          </w:p>
        </w:tc>
        <w:tc>
          <w:tcPr>
            <w:tcW w:type="dxa" w:w="813"/>
          </w:tcPr>
          <w:p>
            <w:pPr>
              <w:spacing w:after="0" w:before="0" w:line="240" w:lineRule="auto"/>
              <w:jc w:val="center"/>
            </w:pPr>
            <w:r>
              <w:rPr>
                <w:sz w:val="19"/>
              </w:rPr>
              <w:t>0,593</w:t>
            </w:r>
          </w:p>
        </w:tc>
        <w:tc>
          <w:tcPr>
            <w:tcW w:type="dxa" w:w="813"/>
          </w:tcPr>
          <w:p>
            <w:pPr>
              <w:spacing w:after="0" w:before="0" w:line="240" w:lineRule="auto"/>
              <w:jc w:val="center"/>
            </w:pPr>
            <w:r>
              <w:rPr>
                <w:sz w:val="19"/>
              </w:rPr>
              <w:t>0,808</w:t>
            </w:r>
          </w:p>
        </w:tc>
        <w:tc>
          <w:tcPr>
            <w:tcW w:type="dxa" w:w="813"/>
          </w:tcPr>
          <w:p>
            <w:pPr>
              <w:spacing w:after="0" w:before="0" w:line="240" w:lineRule="auto"/>
              <w:jc w:val="center"/>
            </w:pPr>
            <w:r>
              <w:rPr>
                <w:b/>
                <w:sz w:val="19"/>
              </w:rPr>
              <w:t>+0,006</w:t>
            </w:r>
          </w:p>
        </w:tc>
        <w:tc>
          <w:tcPr>
            <w:tcW w:type="dxa" w:w="813"/>
          </w:tcPr>
          <w:p>
            <w:pPr>
              <w:spacing w:after="0" w:before="0" w:line="240" w:lineRule="auto"/>
              <w:jc w:val="center"/>
            </w:pPr>
            <w:r>
              <w:rPr>
                <w:sz w:val="19"/>
              </w:rPr>
              <w:t>11,0 dk</w:t>
            </w:r>
          </w:p>
        </w:tc>
      </w:tr>
      <w:tr>
        <w:tc>
          <w:tcPr>
            <w:tcW w:type="dxa" w:w="2285"/>
          </w:tcPr>
          <w:p>
            <w:pPr>
              <w:spacing w:after="0" w:before="0" w:line="240" w:lineRule="auto"/>
              <w:jc w:val="left"/>
            </w:pPr>
            <w:r>
              <w:rPr>
                <w:sz w:val="19"/>
              </w:rPr>
              <w:t>P01 VoxCNN</w:t>
            </w:r>
          </w:p>
        </w:tc>
        <w:tc>
          <w:tcPr>
            <w:tcW w:type="dxa" w:w="813"/>
          </w:tcPr>
          <w:p>
            <w:pPr>
              <w:spacing w:after="0" w:before="0" w:line="240" w:lineRule="auto"/>
              <w:jc w:val="center"/>
            </w:pPr>
            <w:r>
              <w:rPr>
                <w:sz w:val="19"/>
              </w:rPr>
              <w:t>0,38M</w:t>
            </w:r>
          </w:p>
        </w:tc>
        <w:tc>
          <w:tcPr>
            <w:tcW w:type="dxa" w:w="813"/>
          </w:tcPr>
          <w:p>
            <w:pPr>
              <w:spacing w:after="0" w:before="0" w:line="240" w:lineRule="auto"/>
              <w:jc w:val="center"/>
            </w:pPr>
            <w:r>
              <w:rPr>
                <w:sz w:val="19"/>
              </w:rPr>
              <w:t>0,809</w:t>
            </w:r>
          </w:p>
        </w:tc>
        <w:tc>
          <w:tcPr>
            <w:tcW w:type="dxa" w:w="813"/>
          </w:tcPr>
          <w:p>
            <w:pPr>
              <w:spacing w:after="0" w:before="0" w:line="240" w:lineRule="auto"/>
              <w:jc w:val="center"/>
            </w:pPr>
            <w:r>
              <w:rPr>
                <w:sz w:val="19"/>
              </w:rPr>
              <w:t>0,620</w:t>
            </w:r>
          </w:p>
        </w:tc>
        <w:tc>
          <w:tcPr>
            <w:tcW w:type="dxa" w:w="813"/>
          </w:tcPr>
          <w:p>
            <w:pPr>
              <w:spacing w:after="0" w:before="0" w:line="240" w:lineRule="auto"/>
              <w:jc w:val="center"/>
            </w:pPr>
            <w:r>
              <w:rPr>
                <w:sz w:val="19"/>
              </w:rPr>
              <w:t>0,758</w:t>
            </w:r>
          </w:p>
        </w:tc>
        <w:tc>
          <w:tcPr>
            <w:tcW w:type="dxa" w:w="813"/>
          </w:tcPr>
          <w:p>
            <w:pPr>
              <w:spacing w:after="0" w:before="0" w:line="240" w:lineRule="auto"/>
              <w:jc w:val="center"/>
            </w:pPr>
            <w:r>
              <w:rPr>
                <w:sz w:val="19"/>
              </w:rPr>
              <w:t>0,778</w:t>
            </w:r>
          </w:p>
        </w:tc>
        <w:tc>
          <w:tcPr>
            <w:tcW w:type="dxa" w:w="813"/>
          </w:tcPr>
          <w:p>
            <w:pPr>
              <w:spacing w:after="0" w:before="0" w:line="240" w:lineRule="auto"/>
              <w:jc w:val="center"/>
            </w:pPr>
            <w:r>
              <w:rPr>
                <w:sz w:val="19"/>
              </w:rPr>
              <w:t>0,462</w:t>
            </w:r>
          </w:p>
        </w:tc>
        <w:tc>
          <w:tcPr>
            <w:tcW w:type="dxa" w:w="813"/>
          </w:tcPr>
          <w:p>
            <w:pPr>
              <w:spacing w:after="0" w:before="0" w:line="240" w:lineRule="auto"/>
              <w:jc w:val="center"/>
            </w:pPr>
            <w:r>
              <w:rPr>
                <w:sz w:val="19"/>
              </w:rPr>
              <w:t>+0,189</w:t>
            </w:r>
          </w:p>
        </w:tc>
        <w:tc>
          <w:tcPr>
            <w:tcW w:type="dxa" w:w="813"/>
          </w:tcPr>
          <w:p>
            <w:pPr>
              <w:spacing w:after="0" w:before="0" w:line="240" w:lineRule="auto"/>
              <w:jc w:val="center"/>
            </w:pPr>
            <w:r>
              <w:rPr>
                <w:sz w:val="19"/>
              </w:rPr>
              <w:t>31,6 dk</w:t>
            </w:r>
          </w:p>
        </w:tc>
      </w:tr>
      <w:tr>
        <w:tc>
          <w:tcPr>
            <w:tcW w:type="dxa" w:w="2285"/>
          </w:tcPr>
          <w:p>
            <w:pPr>
              <w:spacing w:after="0" w:before="0" w:line="240" w:lineRule="auto"/>
              <w:jc w:val="left"/>
            </w:pPr>
            <w:r>
              <w:rPr>
                <w:sz w:val="19"/>
              </w:rPr>
              <w:t>P02 ResNet-18 sıfırdan</w:t>
            </w:r>
          </w:p>
        </w:tc>
        <w:tc>
          <w:tcPr>
            <w:tcW w:type="dxa" w:w="813"/>
          </w:tcPr>
          <w:p>
            <w:pPr>
              <w:spacing w:after="0" w:before="0" w:line="240" w:lineRule="auto"/>
              <w:jc w:val="center"/>
            </w:pPr>
            <w:r>
              <w:rPr>
                <w:sz w:val="19"/>
              </w:rPr>
              <w:t>32,99M</w:t>
            </w:r>
          </w:p>
        </w:tc>
        <w:tc>
          <w:tcPr>
            <w:tcW w:type="dxa" w:w="813"/>
          </w:tcPr>
          <w:p>
            <w:pPr>
              <w:spacing w:after="0" w:before="0" w:line="240" w:lineRule="auto"/>
              <w:jc w:val="center"/>
            </w:pPr>
            <w:r>
              <w:rPr>
                <w:sz w:val="19"/>
              </w:rPr>
              <w:t>0,841</w:t>
            </w:r>
          </w:p>
        </w:tc>
        <w:tc>
          <w:tcPr>
            <w:tcW w:type="dxa" w:w="813"/>
          </w:tcPr>
          <w:p>
            <w:pPr>
              <w:spacing w:after="0" w:before="0" w:line="240" w:lineRule="auto"/>
              <w:jc w:val="center"/>
            </w:pPr>
            <w:r>
              <w:rPr>
                <w:sz w:val="19"/>
              </w:rPr>
              <w:t>0,620</w:t>
            </w:r>
          </w:p>
        </w:tc>
        <w:tc>
          <w:tcPr>
            <w:tcW w:type="dxa" w:w="813"/>
          </w:tcPr>
          <w:p>
            <w:pPr>
              <w:spacing w:after="0" w:before="0" w:line="240" w:lineRule="auto"/>
              <w:jc w:val="center"/>
            </w:pPr>
            <w:r>
              <w:rPr>
                <w:sz w:val="19"/>
              </w:rPr>
              <w:t>0,738</w:t>
            </w:r>
          </w:p>
        </w:tc>
        <w:tc>
          <w:tcPr>
            <w:tcW w:type="dxa" w:w="813"/>
          </w:tcPr>
          <w:p>
            <w:pPr>
              <w:spacing w:after="0" w:before="0" w:line="240" w:lineRule="auto"/>
              <w:jc w:val="center"/>
            </w:pPr>
            <w:r>
              <w:rPr>
                <w:sz w:val="19"/>
              </w:rPr>
              <w:t>0,778</w:t>
            </w:r>
          </w:p>
        </w:tc>
        <w:tc>
          <w:tcPr>
            <w:tcW w:type="dxa" w:w="813"/>
          </w:tcPr>
          <w:p>
            <w:pPr>
              <w:spacing w:after="0" w:before="0" w:line="240" w:lineRule="auto"/>
              <w:jc w:val="center"/>
            </w:pPr>
            <w:r>
              <w:rPr>
                <w:sz w:val="19"/>
              </w:rPr>
              <w:t>0,462</w:t>
            </w:r>
          </w:p>
        </w:tc>
        <w:tc>
          <w:tcPr>
            <w:tcW w:type="dxa" w:w="813"/>
          </w:tcPr>
          <w:p>
            <w:pPr>
              <w:spacing w:after="0" w:before="0" w:line="240" w:lineRule="auto"/>
              <w:jc w:val="center"/>
            </w:pPr>
            <w:r>
              <w:rPr>
                <w:sz w:val="19"/>
              </w:rPr>
              <w:t>+0,221</w:t>
            </w:r>
          </w:p>
        </w:tc>
        <w:tc>
          <w:tcPr>
            <w:tcW w:type="dxa" w:w="813"/>
          </w:tcPr>
          <w:p>
            <w:pPr>
              <w:spacing w:after="0" w:before="0" w:line="240" w:lineRule="auto"/>
              <w:jc w:val="center"/>
            </w:pPr>
            <w:r>
              <w:rPr>
                <w:sz w:val="19"/>
              </w:rPr>
              <w:t>13,5 dk</w:t>
            </w:r>
          </w:p>
        </w:tc>
      </w:tr>
      <w:tr>
        <w:tc>
          <w:tcPr>
            <w:tcW w:type="dxa" w:w="2285"/>
          </w:tcPr>
          <w:p>
            <w:pPr>
              <w:spacing w:after="0" w:before="0" w:line="240" w:lineRule="auto"/>
              <w:jc w:val="left"/>
            </w:pPr>
            <w:r>
              <w:rPr>
                <w:sz w:val="19"/>
              </w:rPr>
              <w:t>Temel: SigCNN3D</w:t>
            </w:r>
          </w:p>
        </w:tc>
        <w:tc>
          <w:tcPr>
            <w:tcW w:type="dxa" w:w="813"/>
          </w:tcPr>
          <w:p>
            <w:pPr>
              <w:spacing w:after="0" w:before="0" w:line="240" w:lineRule="auto"/>
              <w:jc w:val="center"/>
            </w:pPr>
            <w:r>
              <w:rPr>
                <w:sz w:val="19"/>
              </w:rPr>
              <w:t>0,07M</w:t>
            </w:r>
          </w:p>
        </w:tc>
        <w:tc>
          <w:tcPr>
            <w:tcW w:type="dxa" w:w="813"/>
          </w:tcPr>
          <w:p>
            <w:pPr>
              <w:spacing w:after="0" w:before="0" w:line="240" w:lineRule="auto"/>
              <w:jc w:val="center"/>
            </w:pPr>
            <w:r>
              <w:rPr>
                <w:sz w:val="19"/>
              </w:rPr>
              <w:t>0,664</w:t>
            </w:r>
          </w:p>
        </w:tc>
        <w:tc>
          <w:tcPr>
            <w:tcW w:type="dxa" w:w="813"/>
          </w:tcPr>
          <w:p>
            <w:pPr>
              <w:spacing w:after="0" w:before="0" w:line="240" w:lineRule="auto"/>
              <w:jc w:val="center"/>
            </w:pPr>
            <w:r>
              <w:rPr>
                <w:sz w:val="19"/>
              </w:rPr>
              <w:t>0,584</w:t>
            </w:r>
          </w:p>
        </w:tc>
        <w:tc>
          <w:tcPr>
            <w:tcW w:type="dxa" w:w="813"/>
          </w:tcPr>
          <w:p>
            <w:pPr>
              <w:spacing w:after="0" w:before="0" w:line="240" w:lineRule="auto"/>
              <w:jc w:val="center"/>
            </w:pPr>
            <w:r>
              <w:rPr>
                <w:sz w:val="19"/>
              </w:rPr>
              <w:t>0,654</w:t>
            </w:r>
          </w:p>
        </w:tc>
        <w:tc>
          <w:tcPr>
            <w:tcW w:type="dxa" w:w="813"/>
          </w:tcPr>
          <w:p>
            <w:pPr>
              <w:spacing w:after="0" w:before="0" w:line="240" w:lineRule="auto"/>
              <w:jc w:val="center"/>
            </w:pPr>
            <w:r>
              <w:rPr>
                <w:sz w:val="19"/>
              </w:rPr>
              <w:t>0,630</w:t>
            </w:r>
          </w:p>
        </w:tc>
        <w:tc>
          <w:tcPr>
            <w:tcW w:type="dxa" w:w="813"/>
          </w:tcPr>
          <w:p>
            <w:pPr>
              <w:spacing w:after="0" w:before="0" w:line="240" w:lineRule="auto"/>
              <w:jc w:val="center"/>
            </w:pPr>
            <w:r>
              <w:rPr>
                <w:sz w:val="19"/>
              </w:rPr>
              <w:t>0,538</w:t>
            </w:r>
          </w:p>
        </w:tc>
        <w:tc>
          <w:tcPr>
            <w:tcW w:type="dxa" w:w="813"/>
          </w:tcPr>
          <w:p>
            <w:pPr>
              <w:spacing w:after="0" w:before="0" w:line="240" w:lineRule="auto"/>
              <w:jc w:val="center"/>
            </w:pPr>
            <w:r>
              <w:rPr>
                <w:sz w:val="19"/>
              </w:rPr>
              <w:t>+0,080</w:t>
            </w:r>
          </w:p>
        </w:tc>
        <w:tc>
          <w:tcPr>
            <w:tcW w:type="dxa" w:w="813"/>
          </w:tcPr>
          <w:p>
            <w:pPr>
              <w:spacing w:after="0" w:before="0" w:line="240" w:lineRule="auto"/>
              <w:jc w:val="center"/>
            </w:pPr>
            <w:r>
              <w:rPr>
                <w:sz w:val="19"/>
              </w:rPr>
              <w:t>19,5 dk</w:t>
            </w:r>
          </w:p>
        </w:tc>
      </w:tr>
      <w:tr>
        <w:tc>
          <w:tcPr>
            <w:tcW w:type="dxa" w:w="2285"/>
          </w:tcPr>
          <w:p>
            <w:pPr>
              <w:spacing w:after="0" w:before="0" w:line="240" w:lineRule="auto"/>
              <w:jc w:val="left"/>
            </w:pPr>
            <w:r>
              <w:rPr>
                <w:sz w:val="19"/>
              </w:rPr>
              <w:t>P06 CNN + LRP</w:t>
            </w:r>
          </w:p>
        </w:tc>
        <w:tc>
          <w:tcPr>
            <w:tcW w:type="dxa" w:w="813"/>
          </w:tcPr>
          <w:p>
            <w:pPr>
              <w:spacing w:after="0" w:before="0" w:line="240" w:lineRule="auto"/>
              <w:jc w:val="center"/>
            </w:pPr>
            <w:r>
              <w:rPr>
                <w:sz w:val="19"/>
              </w:rPr>
              <w:t>4,27M</w:t>
            </w:r>
          </w:p>
        </w:tc>
        <w:tc>
          <w:tcPr>
            <w:tcW w:type="dxa" w:w="813"/>
          </w:tcPr>
          <w:p>
            <w:pPr>
              <w:spacing w:after="0" w:before="0" w:line="240" w:lineRule="auto"/>
              <w:jc w:val="center"/>
            </w:pPr>
            <w:r>
              <w:rPr>
                <w:sz w:val="19"/>
              </w:rPr>
              <w:t>0,500</w:t>
            </w:r>
          </w:p>
        </w:tc>
        <w:tc>
          <w:tcPr>
            <w:tcW w:type="dxa" w:w="813"/>
          </w:tcPr>
          <w:p>
            <w:pPr>
              <w:spacing w:after="0" w:before="0" w:line="240" w:lineRule="auto"/>
              <w:jc w:val="center"/>
            </w:pPr>
            <w:r>
              <w:rPr>
                <w:sz w:val="19"/>
              </w:rPr>
              <w:t>0,500</w:t>
            </w:r>
          </w:p>
        </w:tc>
        <w:tc>
          <w:tcPr>
            <w:tcW w:type="dxa" w:w="813"/>
          </w:tcPr>
          <w:p>
            <w:pPr>
              <w:spacing w:after="0" w:before="0" w:line="240" w:lineRule="auto"/>
              <w:jc w:val="center"/>
            </w:pPr>
            <w:r>
              <w:rPr>
                <w:sz w:val="19"/>
              </w:rPr>
              <w:t>0,603</w:t>
            </w:r>
          </w:p>
        </w:tc>
        <w:tc>
          <w:tcPr>
            <w:tcW w:type="dxa" w:w="813"/>
          </w:tcPr>
          <w:p>
            <w:pPr>
              <w:spacing w:after="0" w:before="0" w:line="240" w:lineRule="auto"/>
              <w:jc w:val="center"/>
            </w:pPr>
            <w:r>
              <w:rPr>
                <w:sz w:val="19"/>
              </w:rPr>
              <w:t>0,000</w:t>
            </w:r>
          </w:p>
        </w:tc>
        <w:tc>
          <w:tcPr>
            <w:tcW w:type="dxa" w:w="813"/>
          </w:tcPr>
          <w:p>
            <w:pPr>
              <w:spacing w:after="0" w:before="0" w:line="240" w:lineRule="auto"/>
              <w:jc w:val="center"/>
            </w:pPr>
            <w:r>
              <w:rPr>
                <w:sz w:val="19"/>
              </w:rPr>
              <w:t>1,000</w:t>
            </w:r>
          </w:p>
        </w:tc>
        <w:tc>
          <w:tcPr>
            <w:tcW w:type="dxa" w:w="813"/>
          </w:tcPr>
          <w:p>
            <w:pPr>
              <w:spacing w:after="0" w:before="0" w:line="240" w:lineRule="auto"/>
              <w:jc w:val="center"/>
            </w:pPr>
            <w:r>
              <w:rPr>
                <w:sz w:val="19"/>
              </w:rPr>
              <w:t>—</w:t>
            </w:r>
          </w:p>
        </w:tc>
        <w:tc>
          <w:tcPr>
            <w:tcW w:type="dxa" w:w="813"/>
          </w:tcPr>
          <w:p>
            <w:pPr>
              <w:spacing w:after="0" w:before="0" w:line="240" w:lineRule="auto"/>
              <w:jc w:val="center"/>
            </w:pPr>
            <w:r>
              <w:rPr>
                <w:sz w:val="19"/>
              </w:rPr>
              <w:t>6,4 dk</w:t>
            </w:r>
          </w:p>
        </w:tc>
      </w:tr>
    </w:tbl>
    <w:p>
      <w:pPr>
        <w:spacing w:after="160"/>
      </w:pPr>
    </w:p>
    <w:p>
      <w:pPr>
        <w:spacing w:before="80" w:after="140"/>
        <w:jc w:val="both"/>
      </w:pPr>
      <w:r>
        <w:rPr>
          <w:b/>
        </w:rPr>
        <w:t>Birincil metriğimiz AUC</w:t>
      </w:r>
      <w:r>
        <w:t>, dengeli doğruluk değil. Gerekçesini §9.2'de ölçümle anlatıyoruz.</w:t>
      </w:r>
    </w:p>
    <w:p>
      <w:pPr>
        <w:pStyle w:val="Heading2"/>
        <w:spacing w:before="280" w:after="140"/>
      </w:pPr>
      <w:r>
        <w:t>5.3 Ön eğitim ablasyonu — kazanç tepe başarıda değil, genellemede</w:t>
      </w:r>
    </w:p>
    <w:p>
      <w:pPr>
        <w:spacing w:before="80" w:after="140"/>
        <w:jc w:val="both"/>
      </w:pPr>
      <w:r>
        <w:t xml:space="preserve">P02'yi iki kez koştuk: bir kez MedicalNet ön eğitimli ağırlıklarla, bir kez sıfırdan. </w:t>
      </w:r>
      <w:r>
        <w:rPr>
          <w:b/>
        </w:rPr>
        <w:t>Mimari birebir aynı, tek fark ön eğitim.</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988"/>
            <w:shd w:val="clear" w:color="auto" w:fill="E8EDF2"/>
          </w:tcPr>
          <w:p>
            <w:pPr>
              <w:spacing w:after="0" w:before="0" w:line="240" w:lineRule="auto"/>
              <w:jc w:val="left"/>
            </w:pPr>
            <w:r>
              <w:rPr>
                <w:b/>
                <w:sz w:val="19"/>
              </w:rPr>
            </w:r>
          </w:p>
        </w:tc>
        <w:tc>
          <w:tcPr>
            <w:tcW w:type="dxa" w:w="1450"/>
            <w:shd w:val="clear" w:color="auto" w:fill="E8EDF2"/>
          </w:tcPr>
          <w:p>
            <w:pPr>
              <w:spacing w:after="0" w:before="0" w:line="240" w:lineRule="auto"/>
              <w:jc w:val="center"/>
            </w:pPr>
            <w:r>
              <w:rPr>
                <w:b/>
                <w:sz w:val="19"/>
              </w:rPr>
              <w:t>Doğrulama BAcc</w:t>
            </w:r>
          </w:p>
        </w:tc>
        <w:tc>
          <w:tcPr>
            <w:tcW w:type="dxa" w:w="1450"/>
            <w:shd w:val="clear" w:color="auto" w:fill="E8EDF2"/>
          </w:tcPr>
          <w:p>
            <w:pPr>
              <w:spacing w:after="0" w:before="0" w:line="240" w:lineRule="auto"/>
              <w:jc w:val="center"/>
            </w:pPr>
            <w:r>
              <w:rPr>
                <w:b/>
                <w:sz w:val="19"/>
              </w:rPr>
              <w:t>Test BAcc</w:t>
            </w:r>
          </w:p>
        </w:tc>
        <w:tc>
          <w:tcPr>
            <w:tcW w:type="dxa" w:w="1450"/>
            <w:shd w:val="clear" w:color="auto" w:fill="E8EDF2"/>
          </w:tcPr>
          <w:p>
            <w:pPr>
              <w:spacing w:after="0" w:before="0" w:line="240" w:lineRule="auto"/>
              <w:jc w:val="center"/>
            </w:pPr>
            <w:r>
              <w:rPr>
                <w:b/>
                <w:sz w:val="19"/>
              </w:rPr>
              <w:t>Test AUC</w:t>
            </w:r>
          </w:p>
        </w:tc>
        <w:tc>
          <w:tcPr>
            <w:tcW w:type="dxa" w:w="1450"/>
            <w:shd w:val="clear" w:color="auto" w:fill="E8EDF2"/>
          </w:tcPr>
          <w:p>
            <w:pPr>
              <w:spacing w:after="0" w:before="0" w:line="240" w:lineRule="auto"/>
              <w:jc w:val="center"/>
            </w:pPr>
            <w:r>
              <w:rPr>
                <w:b/>
                <w:sz w:val="19"/>
              </w:rPr>
              <w:t>Boşluk</w:t>
            </w:r>
          </w:p>
        </w:tc>
      </w:tr>
      <w:tr>
        <w:tc>
          <w:tcPr>
            <w:tcW w:type="dxa" w:w="2988"/>
          </w:tcPr>
          <w:p>
            <w:pPr>
              <w:spacing w:after="0" w:before="0" w:line="240" w:lineRule="auto"/>
              <w:jc w:val="left"/>
            </w:pPr>
            <w:r>
              <w:rPr>
                <w:sz w:val="19"/>
              </w:rPr>
              <w:t>Sıfırdan</w:t>
            </w:r>
          </w:p>
        </w:tc>
        <w:tc>
          <w:tcPr>
            <w:tcW w:type="dxa" w:w="1450"/>
          </w:tcPr>
          <w:p>
            <w:pPr>
              <w:spacing w:after="0" w:before="0" w:line="240" w:lineRule="auto"/>
              <w:jc w:val="center"/>
            </w:pPr>
            <w:r>
              <w:rPr>
                <w:b/>
                <w:sz w:val="19"/>
              </w:rPr>
              <w:t>0,841</w:t>
            </w:r>
          </w:p>
        </w:tc>
        <w:tc>
          <w:tcPr>
            <w:tcW w:type="dxa" w:w="1450"/>
          </w:tcPr>
          <w:p>
            <w:pPr>
              <w:spacing w:after="0" w:before="0" w:line="240" w:lineRule="auto"/>
              <w:jc w:val="center"/>
            </w:pPr>
            <w:r>
              <w:rPr>
                <w:sz w:val="19"/>
              </w:rPr>
              <w:t>0,620</w:t>
            </w:r>
          </w:p>
        </w:tc>
        <w:tc>
          <w:tcPr>
            <w:tcW w:type="dxa" w:w="1450"/>
          </w:tcPr>
          <w:p>
            <w:pPr>
              <w:spacing w:after="0" w:before="0" w:line="240" w:lineRule="auto"/>
              <w:jc w:val="center"/>
            </w:pPr>
            <w:r>
              <w:rPr>
                <w:sz w:val="19"/>
              </w:rPr>
              <w:t>0,738</w:t>
            </w:r>
          </w:p>
        </w:tc>
        <w:tc>
          <w:tcPr>
            <w:tcW w:type="dxa" w:w="1450"/>
          </w:tcPr>
          <w:p>
            <w:pPr>
              <w:spacing w:after="0" w:before="0" w:line="240" w:lineRule="auto"/>
              <w:jc w:val="center"/>
            </w:pPr>
            <w:r>
              <w:rPr>
                <w:b/>
                <w:sz w:val="19"/>
              </w:rPr>
              <w:t>0,221</w:t>
            </w:r>
          </w:p>
        </w:tc>
      </w:tr>
      <w:tr>
        <w:tc>
          <w:tcPr>
            <w:tcW w:type="dxa" w:w="2988"/>
          </w:tcPr>
          <w:p>
            <w:pPr>
              <w:spacing w:after="0" w:before="0" w:line="240" w:lineRule="auto"/>
              <w:jc w:val="left"/>
            </w:pPr>
            <w:r>
              <w:rPr>
                <w:sz w:val="19"/>
              </w:rPr>
              <w:t>MedicalNet ön eğitimli</w:t>
            </w:r>
          </w:p>
        </w:tc>
        <w:tc>
          <w:tcPr>
            <w:tcW w:type="dxa" w:w="1450"/>
          </w:tcPr>
          <w:p>
            <w:pPr>
              <w:spacing w:after="0" w:before="0" w:line="240" w:lineRule="auto"/>
              <w:jc w:val="center"/>
            </w:pPr>
            <w:r>
              <w:rPr>
                <w:sz w:val="19"/>
              </w:rPr>
              <w:t>0,706</w:t>
            </w:r>
          </w:p>
        </w:tc>
        <w:tc>
          <w:tcPr>
            <w:tcW w:type="dxa" w:w="1450"/>
          </w:tcPr>
          <w:p>
            <w:pPr>
              <w:spacing w:after="0" w:before="0" w:line="240" w:lineRule="auto"/>
              <w:jc w:val="center"/>
            </w:pPr>
            <w:r>
              <w:rPr>
                <w:b/>
                <w:sz w:val="19"/>
              </w:rPr>
              <w:t>0,700</w:t>
            </w:r>
          </w:p>
        </w:tc>
        <w:tc>
          <w:tcPr>
            <w:tcW w:type="dxa" w:w="1450"/>
          </w:tcPr>
          <w:p>
            <w:pPr>
              <w:spacing w:after="0" w:before="0" w:line="240" w:lineRule="auto"/>
              <w:jc w:val="center"/>
            </w:pPr>
            <w:r>
              <w:rPr>
                <w:b/>
                <w:sz w:val="19"/>
              </w:rPr>
              <w:t>0,758</w:t>
            </w:r>
          </w:p>
        </w:tc>
        <w:tc>
          <w:tcPr>
            <w:tcW w:type="dxa" w:w="1450"/>
          </w:tcPr>
          <w:p>
            <w:pPr>
              <w:spacing w:after="0" w:before="0" w:line="240" w:lineRule="auto"/>
              <w:jc w:val="center"/>
            </w:pPr>
            <w:r>
              <w:rPr>
                <w:b/>
                <w:sz w:val="19"/>
              </w:rPr>
              <w:t>0,006</w:t>
            </w:r>
          </w:p>
        </w:tc>
      </w:tr>
    </w:tbl>
    <w:p>
      <w:pPr>
        <w:spacing w:after="160"/>
      </w:pPr>
    </w:p>
    <w:p>
      <w:pPr>
        <w:spacing w:before="80" w:after="140"/>
        <w:jc w:val="both"/>
      </w:pPr>
      <w:r>
        <w:t xml:space="preserve">Sıfırdan eğitilen model doğrulamada belirgin şekilde </w:t>
      </w:r>
      <w:r>
        <w:rPr>
          <w:b/>
        </w:rPr>
        <w:t>daha iyi</w:t>
      </w:r>
      <w:r>
        <w:t xml:space="preserve">, test'te </w:t>
      </w:r>
      <w:r>
        <w:rPr>
          <w:b/>
        </w:rPr>
        <w:t>daha kötü</w:t>
      </w:r>
      <w:r>
        <w:t xml:space="preserve">. Bu klasik aşırı öğrenme imzası: 236 eğitim deneğiyle 33 milyon parametreli bir ağ eğitim katını ezberliyor. Ön eğitimin kazandırdığı şey tepe başarı değil </w:t>
      </w:r>
      <w:r>
        <w:rPr>
          <w:b/>
        </w:rPr>
        <w:t>genelleme</w:t>
      </w:r>
      <w:r>
        <w:t xml:space="preserve"> — ki Chen vd. (2019)'un MedicalNet iddiası tam olarak budur.</w:t>
      </w:r>
    </w:p>
    <w:p>
      <w:pPr>
        <w:spacing w:before="80" w:after="140"/>
        <w:jc w:val="both"/>
      </w:pPr>
      <w:r>
        <w:t xml:space="preserve">Burada test farkına (0,700 vs 0,620) değil </w:t>
      </w:r>
      <w:r>
        <w:rPr>
          <w:b/>
        </w:rPr>
        <w:t>boşluğa</w:t>
      </w:r>
      <w:r>
        <w:t xml:space="preserve"> bakıyoruz, çünkü test farkı 53 deneklik tek bir kümeden geliyor ve gürültülü; boşluk ise her koşunun kendi içinde ölçülen bir büyüklük. 0,006'ya karşı 0,221 farkı tek koşuda bile anlamlı bir işaret.</w:t>
      </w:r>
    </w:p>
    <w:p>
      <w:pPr>
        <w:spacing w:before="80" w:after="140"/>
        <w:jc w:val="both"/>
      </w:pPr>
      <w:r>
        <w:rPr>
          <w:b/>
        </w:rPr>
        <w:t>Bundan çıkardığımız metodolojik ders:</w:t>
      </w:r>
      <w:r>
        <w:t xml:space="preserve"> doğrulama kümesi, aşırı öğrenen yapılandırmayı ödüllendirebiliyor. Bu yüzden </w:t>
      </w:r>
      <w:r>
        <w:rPr>
          <w:i/>
        </w:rPr>
        <w:t>hiperparametre</w:t>
      </w:r>
      <w:r>
        <w:t xml:space="preserve"> seçimini doğrulamada bırakıyoruz ama </w:t>
      </w:r>
      <w:r>
        <w:rPr>
          <w:i/>
        </w:rPr>
        <w:t>mimari karşılaştırmasını</w:t>
      </w:r>
      <w:r>
        <w:t xml:space="preserve"> kilitli test üzerinden yapıyoruz, ve </w:t>
      </w:r>
      <w:r>
        <w:rPr>
          <w:rFonts w:ascii="Consolas" w:hAnsi="Consolas"/>
          <w:sz w:val="20"/>
        </w:rPr>
        <w:t>tablo_uret.py</w:t>
      </w:r>
      <w:r>
        <w:t xml:space="preserve"> bu ayrımı kodla koruyor.</w:t>
      </w:r>
    </w:p>
    <w:p>
      <w:pPr>
        <w:pStyle w:val="Heading2"/>
        <w:spacing w:before="280" w:after="140"/>
      </w:pPr>
      <w:r>
        <w:t>5.4 P06 neden öğrenmedi — dürüst bir negatif sonuç</w:t>
      </w:r>
    </w:p>
    <w:p>
      <w:pPr>
        <w:spacing w:before="80" w:after="140"/>
        <w:jc w:val="both"/>
      </w:pPr>
      <w:r>
        <w:t xml:space="preserve">P06 kat 0'da hiç öğrenmedi: kayıp 13 epoch boyunca tam </w:t>
      </w:r>
      <w:r>
        <w:rPr>
          <w:rFonts w:ascii="Consolas" w:hAnsi="Consolas"/>
          <w:sz w:val="20"/>
        </w:rPr>
        <w:t>ln 2 = 0,693</w:t>
      </w:r>
      <w:r>
        <w:t xml:space="preserve">'te çakılı kaldı, karışıklık matrisi </w:t>
      </w:r>
      <w:r>
        <w:rPr>
          <w:rFonts w:ascii="Consolas" w:hAnsi="Consolas"/>
          <w:sz w:val="20"/>
        </w:rPr>
        <w:t>[[26, 0], [27, 0]]</w:t>
      </w:r>
      <w:r>
        <w:t>, yani her deneğe "sağlıklı" dedi. Mimariyi inceleyip nedenini bulduk ve bu yapısal bir şey:</w:t>
      </w:r>
    </w:p>
    <w:p>
      <w:pPr>
        <w:spacing w:before="80" w:after="140"/>
        <w:jc w:val="both"/>
      </w:pPr>
      <w:r>
        <w:t xml:space="preserve">P06, </w:t>
      </w:r>
      <w:r>
        <w:rPr>
          <w:b/>
        </w:rPr>
        <w:t>parametre sayısı girdi boyutuna bağlı olan tek modelimiz</w:t>
      </w:r>
      <w:r>
        <w:t xml:space="preserve">. Global havuzlama yerine </w:t>
      </w:r>
      <w:r>
        <w:rPr>
          <w:rFonts w:ascii="Consolas" w:hAnsi="Consolas"/>
          <w:sz w:val="20"/>
        </w:rPr>
        <w:t>flatten + Linear</w:t>
      </w:r>
      <w:r>
        <w:t xml:space="preserve"> kullanıyor:</w:t>
      </w:r>
    </w:p>
    <w:p>
      <w:pPr>
        <w:spacing w:line="240" w:lineRule="auto" w:before="120" w:after="0"/>
        <w:ind w:left="283"/>
      </w:pPr>
      <w:r>
        <w:rPr>
          <w:rFonts w:ascii="Consolas" w:hAnsi="Consolas"/>
          <w:sz w:val="18"/>
        </w:rPr>
        <w:t>linear_in = 64 × (girdi/16)³       32³ için 512,  128³ için 32.768</w:t>
      </w:r>
    </w:p>
    <w:p>
      <w:pPr>
        <w:spacing w:line="240" w:lineRule="auto" w:before="0" w:after="140"/>
        <w:ind w:left="283"/>
      </w:pPr>
      <w:r>
        <w:rPr>
          <w:rFonts w:ascii="Consolas" w:hAnsi="Consolas"/>
          <w:sz w:val="18"/>
        </w:rPr>
        <w:t>fc1 = Linear(32.768, 128)  =  4,19M parametre  =  modelin %98'i</w:t>
      </w:r>
    </w:p>
    <w:p>
      <w:pPr>
        <w:spacing w:before="80" w:after="140"/>
        <w:jc w:val="both"/>
      </w:pPr>
      <w:r>
        <w:t>Evrişimle öznitelik çıkaran kısım yalnızca 0,08M. Yani 128³ girdide P06, 236 denekle eğitilen dev bir lineer sınıflayıcıya dönüşüyor. Diğer altı mimari adaptif havuzlama kullandığı için girdi boyutundan bağımsız.</w:t>
      </w:r>
    </w:p>
    <w:p>
      <w:pPr>
        <w:spacing w:before="80" w:after="140"/>
        <w:jc w:val="both"/>
      </w:pPr>
      <w:r>
        <w:t xml:space="preserve">İlk tahminimiz "normalizasyon katmanı yok, o yüzden" idi; </w:t>
      </w:r>
      <w:r>
        <w:rPr>
          <w:b/>
        </w:rPr>
        <w:t>bu tahmini ölçümle çürüttük</w:t>
      </w:r>
      <w:r>
        <w:t xml:space="preserve"> — VoxCNN'in de hiç normalizasyon katmanı yok ve o AUC 0,758 veriyor. Ayırt edici etken normalizasyon eksikliği değil, o tek dev tam bağlantılı katman.</w:t>
      </w:r>
    </w:p>
    <w:p>
      <w:pPr>
        <w:spacing w:before="80" w:after="140"/>
        <w:jc w:val="both"/>
      </w:pPr>
      <w:r>
        <w:t xml:space="preserve">Modeli "çalışmıyor" diye bir kenara atmadık; protokolün kendi çözümünü uyguluyoruz: öğrenme oranı taraması (1e-3 / 3e-4 / 1e-4). Tarama da başarısız olursa bulgumuz şu olacak ve raporlanabilir bir sonuçtur: </w:t>
      </w:r>
      <w:r>
        <w:rPr>
          <w:i/>
        </w:rPr>
        <w:t>Böhle vd. (2019) mimarisi yayınlandığı haliyle 128³ girdide eğitilemiyor, çünkü makale daha küçük girdi kullanıyordu.</w:t>
      </w:r>
    </w:p>
    <w:p>
      <w:pPr>
        <w:spacing w:before="120" w:after="160"/>
        <w:pBdr>
          <w:bottom w:val="single" w:sz="6" w:space="1" w:color="AAB6C0"/>
        </w:pBdr>
      </w:pPr>
    </w:p>
    <w:p>
      <w:pPr>
        <w:pStyle w:val="Heading1"/>
        <w:spacing w:before="360" w:after="180"/>
      </w:pPr>
      <w:r>
        <w:t>6. ANALİZ — SONUCUN GERÇEKTEN NEREDEN GELDİĞİ</w:t>
      </w:r>
    </w:p>
    <w:p>
      <w:pPr>
        <w:spacing w:before="80" w:after="140"/>
        <w:jc w:val="both"/>
      </w:pPr>
      <w:r>
        <w:t>Tek bir doğruluk sayısı yayımlamak kolay; o sayının neyi ölçtüğünü göstermek zor. Üç analiz aracı yazdık.</w:t>
      </w:r>
    </w:p>
    <w:p>
      <w:pPr>
        <w:pStyle w:val="Heading2"/>
        <w:spacing w:before="280" w:after="140"/>
      </w:pPr>
      <w:r>
        <w:t>6.1 Karıştırıcı tavanı — model beyne mi bakıyor?</w:t>
      </w:r>
    </w:p>
    <w:p>
      <w:pPr>
        <w:spacing w:before="80" w:after="140"/>
        <w:jc w:val="both"/>
      </w:pPr>
      <w:r>
        <w:t xml:space="preserve">Veri kümemizde </w:t>
      </w:r>
      <w:r>
        <w:rPr>
          <w:b/>
        </w:rPr>
        <w:t>cinsiyet dengesiz</w:t>
      </w:r>
      <w:r>
        <w:t xml:space="preserve">: AD grubunun %54'ü, kontrol grubunun %72'si kadın (Fisher kesin testi p = 0,0009). Eşleştirme yapmak 348 deneği ~210'a düşüreceği için eşleştirmedik; yerine karıştırıcının ne kadar işe yaradığını </w:t>
      </w:r>
      <w:r>
        <w:rPr>
          <w:b/>
        </w:rPr>
        <w:t>ölçtük</w:t>
      </w:r>
      <w:r>
        <w:t>.</w:t>
      </w:r>
    </w:p>
    <w:p>
      <w:pPr>
        <w:spacing w:before="80" w:after="140"/>
        <w:jc w:val="both"/>
      </w:pPr>
      <w:r>
        <w:rPr>
          <w:rFonts w:ascii="Consolas" w:hAnsi="Consolas"/>
          <w:sz w:val="20"/>
        </w:rPr>
        <w:t>karsilastirma/altgrup_analiz.py</w:t>
      </w:r>
      <w:r>
        <w:t xml:space="preserve">, yalnız demografiden AD tahmin eden bir lojistik regresyonun aynı test kümesindeki AUC'sini hesaplıyor. Bu, </w:t>
      </w:r>
      <w:r>
        <w:rPr>
          <w:b/>
        </w:rPr>
        <w:t>beyne hiç bakmayan</w:t>
      </w:r>
      <w:r>
        <w:t xml:space="preserve"> bir modelin alabileceği skordur:</w:t>
      </w:r>
    </w:p>
    <w:tbl>
      <w:tblPr>
        <w:tblStyle w:val="TableGrid"/>
        <w:tblW w:type="auto" w:w="0"/>
        <w:jc w:val="center"/>
        <w:tblLayout w:type="fixed"/>
        <w:tblLook w:firstColumn="1" w:firstRow="1" w:lastColumn="0" w:lastRow="0" w:noHBand="0" w:noVBand="1" w:val="04A0"/>
      </w:tblPr>
      <w:tblGrid>
        <w:gridCol w:w="4394"/>
        <w:gridCol w:w="4394"/>
      </w:tblGrid>
      <w:tr>
        <w:tc>
          <w:tcPr>
            <w:tcW w:type="dxa" w:w="4394"/>
            <w:shd w:val="clear" w:color="auto" w:fill="E8EDF2"/>
          </w:tcPr>
          <w:p>
            <w:pPr>
              <w:spacing w:after="0" w:before="0" w:line="240" w:lineRule="auto"/>
              <w:jc w:val="left"/>
            </w:pPr>
            <w:r>
              <w:rPr>
                <w:b/>
                <w:sz w:val="19"/>
              </w:rPr>
              <w:t>Yalnız şunu kullanan model</w:t>
            </w:r>
          </w:p>
        </w:tc>
        <w:tc>
          <w:tcPr>
            <w:tcW w:type="dxa" w:w="4394"/>
            <w:shd w:val="clear" w:color="auto" w:fill="E8EDF2"/>
          </w:tcPr>
          <w:p>
            <w:pPr>
              <w:spacing w:after="0" w:before="0" w:line="240" w:lineRule="auto"/>
              <w:jc w:val="center"/>
            </w:pPr>
            <w:r>
              <w:rPr>
                <w:b/>
                <w:sz w:val="19"/>
              </w:rPr>
              <w:t>Test AUC</w:t>
            </w:r>
          </w:p>
        </w:tc>
      </w:tr>
      <w:tr>
        <w:tc>
          <w:tcPr>
            <w:tcW w:type="dxa" w:w="4394"/>
          </w:tcPr>
          <w:p>
            <w:pPr>
              <w:spacing w:after="0" w:before="0" w:line="240" w:lineRule="auto"/>
              <w:jc w:val="left"/>
            </w:pPr>
            <w:r>
              <w:rPr>
                <w:sz w:val="19"/>
              </w:rPr>
              <w:t>Yalnız cinsiyet</w:t>
            </w:r>
          </w:p>
        </w:tc>
        <w:tc>
          <w:tcPr>
            <w:tcW w:type="dxa" w:w="4394"/>
          </w:tcPr>
          <w:p>
            <w:pPr>
              <w:spacing w:after="0" w:before="0" w:line="240" w:lineRule="auto"/>
              <w:jc w:val="center"/>
            </w:pPr>
            <w:r>
              <w:rPr>
                <w:sz w:val="19"/>
              </w:rPr>
              <w:t>0,418</w:t>
            </w:r>
          </w:p>
        </w:tc>
      </w:tr>
      <w:tr>
        <w:tc>
          <w:tcPr>
            <w:tcW w:type="dxa" w:w="4394"/>
          </w:tcPr>
          <w:p>
            <w:pPr>
              <w:spacing w:after="0" w:before="0" w:line="240" w:lineRule="auto"/>
              <w:jc w:val="left"/>
            </w:pPr>
            <w:r>
              <w:rPr>
                <w:sz w:val="19"/>
              </w:rPr>
              <w:t>Yalnız yaş</w:t>
            </w:r>
          </w:p>
        </w:tc>
        <w:tc>
          <w:tcPr>
            <w:tcW w:type="dxa" w:w="4394"/>
          </w:tcPr>
          <w:p>
            <w:pPr>
              <w:spacing w:after="0" w:before="0" w:line="240" w:lineRule="auto"/>
              <w:jc w:val="center"/>
            </w:pPr>
            <w:r>
              <w:rPr>
                <w:sz w:val="19"/>
              </w:rPr>
              <w:t>0,359</w:t>
            </w:r>
          </w:p>
        </w:tc>
      </w:tr>
      <w:tr>
        <w:tc>
          <w:tcPr>
            <w:tcW w:type="dxa" w:w="4394"/>
          </w:tcPr>
          <w:p>
            <w:pPr>
              <w:spacing w:after="0" w:before="0" w:line="240" w:lineRule="auto"/>
              <w:jc w:val="left"/>
            </w:pPr>
            <w:r>
              <w:rPr>
                <w:sz w:val="19"/>
              </w:rPr>
              <w:t>Cinsiyet + yaş</w:t>
            </w:r>
          </w:p>
        </w:tc>
        <w:tc>
          <w:tcPr>
            <w:tcW w:type="dxa" w:w="4394"/>
          </w:tcPr>
          <w:p>
            <w:pPr>
              <w:spacing w:after="0" w:before="0" w:line="240" w:lineRule="auto"/>
              <w:jc w:val="center"/>
            </w:pPr>
            <w:r>
              <w:rPr>
                <w:sz w:val="19"/>
              </w:rPr>
              <w:t>0,354</w:t>
            </w:r>
          </w:p>
        </w:tc>
      </w:tr>
    </w:tbl>
    <w:p>
      <w:pPr>
        <w:spacing w:after="160"/>
      </w:pPr>
    </w:p>
    <w:p>
      <w:pPr>
        <w:spacing w:before="80" w:after="140"/>
        <w:jc w:val="both"/>
      </w:pPr>
      <w:r>
        <w:rPr>
          <w:b/>
        </w:rPr>
        <w:t>Üçü de şans seviyesinin (0,500) altında.</w:t>
      </w:r>
      <w:r>
        <w:t xml:space="preserve"> Yani test kümemizde demografik bilgi AD tahmininde kullanılabilir bir sinyal taşımıyor. Modellerimizin 0,758–0,792 bandındaki AUC'si bu tavanın yaklaşık 0,35–0,44 üzerinde. </w:t>
      </w:r>
      <w:r>
        <w:rPr>
          <w:b/>
        </w:rPr>
        <w:t>Sonuç karıştırıcıdan gelmiyor; modeller gerçekten görüntüden bilgi çıkarıyor.</w:t>
      </w:r>
      <w:r>
        <w:t xml:space="preserve"> Ayrıca VoxCNN'in AUC'si cinsiyetten bağımsız: kadınlarda 0,756, erkeklerde 0,750.</w:t>
      </w:r>
    </w:p>
    <w:p>
      <w:pPr>
        <w:pStyle w:val="Heading2"/>
        <w:spacing w:before="280" w:after="140"/>
      </w:pPr>
      <w:r>
        <w:t>6.2 Alt grup dağılımı</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988"/>
            <w:shd w:val="clear" w:color="auto" w:fill="E8EDF2"/>
          </w:tcPr>
          <w:p>
            <w:pPr>
              <w:spacing w:after="0" w:before="0" w:line="240" w:lineRule="auto"/>
              <w:jc w:val="left"/>
            </w:pPr>
            <w:r>
              <w:rPr>
                <w:b/>
                <w:sz w:val="19"/>
              </w:rPr>
              <w:t>Alt grup</w:t>
            </w:r>
          </w:p>
        </w:tc>
        <w:tc>
          <w:tcPr>
            <w:tcW w:type="dxa" w:w="1933"/>
            <w:shd w:val="clear" w:color="auto" w:fill="E8EDF2"/>
          </w:tcPr>
          <w:p>
            <w:pPr>
              <w:spacing w:after="0" w:before="0" w:line="240" w:lineRule="auto"/>
              <w:jc w:val="center"/>
            </w:pPr>
            <w:r>
              <w:rPr>
                <w:b/>
                <w:sz w:val="19"/>
              </w:rPr>
              <w:t>n</w:t>
            </w:r>
          </w:p>
        </w:tc>
        <w:tc>
          <w:tcPr>
            <w:tcW w:type="dxa" w:w="1933"/>
            <w:shd w:val="clear" w:color="auto" w:fill="E8EDF2"/>
          </w:tcPr>
          <w:p>
            <w:pPr>
              <w:spacing w:after="0" w:before="0" w:line="240" w:lineRule="auto"/>
              <w:jc w:val="center"/>
            </w:pPr>
            <w:r>
              <w:rPr>
                <w:b/>
                <w:sz w:val="19"/>
              </w:rPr>
              <w:t>AD</w:t>
            </w:r>
          </w:p>
        </w:tc>
        <w:tc>
          <w:tcPr>
            <w:tcW w:type="dxa" w:w="1933"/>
            <w:shd w:val="clear" w:color="auto" w:fill="E8EDF2"/>
          </w:tcPr>
          <w:p>
            <w:pPr>
              <w:spacing w:after="0" w:before="0" w:line="240" w:lineRule="auto"/>
              <w:jc w:val="center"/>
            </w:pPr>
            <w:r>
              <w:rPr>
                <w:b/>
                <w:sz w:val="19"/>
              </w:rPr>
              <w:t>VoxCNN AUC</w:t>
            </w:r>
          </w:p>
        </w:tc>
      </w:tr>
      <w:tr>
        <w:tc>
          <w:tcPr>
            <w:tcW w:type="dxa" w:w="2988"/>
          </w:tcPr>
          <w:p>
            <w:pPr>
              <w:spacing w:after="0" w:before="0" w:line="240" w:lineRule="auto"/>
              <w:jc w:val="left"/>
            </w:pPr>
            <w:r>
              <w:rPr>
                <w:sz w:val="19"/>
              </w:rPr>
              <w:t>Kadın</w:t>
            </w:r>
          </w:p>
        </w:tc>
        <w:tc>
          <w:tcPr>
            <w:tcW w:type="dxa" w:w="1933"/>
          </w:tcPr>
          <w:p>
            <w:pPr>
              <w:spacing w:after="0" w:before="0" w:line="240" w:lineRule="auto"/>
              <w:jc w:val="center"/>
            </w:pPr>
            <w:r>
              <w:rPr>
                <w:sz w:val="19"/>
              </w:rPr>
              <w:t>38</w:t>
            </w:r>
          </w:p>
        </w:tc>
        <w:tc>
          <w:tcPr>
            <w:tcW w:type="dxa" w:w="1933"/>
          </w:tcPr>
          <w:p>
            <w:pPr>
              <w:spacing w:after="0" w:before="0" w:line="240" w:lineRule="auto"/>
              <w:jc w:val="center"/>
            </w:pPr>
            <w:r>
              <w:rPr>
                <w:sz w:val="19"/>
              </w:rPr>
              <w:t>19</w:t>
            </w:r>
          </w:p>
        </w:tc>
        <w:tc>
          <w:tcPr>
            <w:tcW w:type="dxa" w:w="1933"/>
          </w:tcPr>
          <w:p>
            <w:pPr>
              <w:spacing w:after="0" w:before="0" w:line="240" w:lineRule="auto"/>
              <w:jc w:val="center"/>
            </w:pPr>
            <w:r>
              <w:rPr>
                <w:sz w:val="19"/>
              </w:rPr>
              <w:t>0,756</w:t>
            </w:r>
          </w:p>
        </w:tc>
      </w:tr>
      <w:tr>
        <w:tc>
          <w:tcPr>
            <w:tcW w:type="dxa" w:w="2988"/>
          </w:tcPr>
          <w:p>
            <w:pPr>
              <w:spacing w:after="0" w:before="0" w:line="240" w:lineRule="auto"/>
              <w:jc w:val="left"/>
            </w:pPr>
            <w:r>
              <w:rPr>
                <w:sz w:val="19"/>
              </w:rPr>
              <w:t>Erkek</w:t>
            </w:r>
          </w:p>
        </w:tc>
        <w:tc>
          <w:tcPr>
            <w:tcW w:type="dxa" w:w="1933"/>
          </w:tcPr>
          <w:p>
            <w:pPr>
              <w:spacing w:after="0" w:before="0" w:line="240" w:lineRule="auto"/>
              <w:jc w:val="center"/>
            </w:pPr>
            <w:r>
              <w:rPr>
                <w:sz w:val="19"/>
              </w:rPr>
              <w:t>15</w:t>
            </w:r>
          </w:p>
        </w:tc>
        <w:tc>
          <w:tcPr>
            <w:tcW w:type="dxa" w:w="1933"/>
          </w:tcPr>
          <w:p>
            <w:pPr>
              <w:spacing w:after="0" w:before="0" w:line="240" w:lineRule="auto"/>
              <w:jc w:val="center"/>
            </w:pPr>
            <w:r>
              <w:rPr>
                <w:sz w:val="19"/>
              </w:rPr>
              <w:t>8</w:t>
            </w:r>
          </w:p>
        </w:tc>
        <w:tc>
          <w:tcPr>
            <w:tcW w:type="dxa" w:w="1933"/>
          </w:tcPr>
          <w:p>
            <w:pPr>
              <w:spacing w:after="0" w:before="0" w:line="240" w:lineRule="auto"/>
              <w:jc w:val="center"/>
            </w:pPr>
            <w:r>
              <w:rPr>
                <w:sz w:val="19"/>
              </w:rPr>
              <w:t>0,750</w:t>
            </w:r>
          </w:p>
        </w:tc>
      </w:tr>
      <w:tr>
        <w:tc>
          <w:tcPr>
            <w:tcW w:type="dxa" w:w="2988"/>
          </w:tcPr>
          <w:p>
            <w:pPr>
              <w:spacing w:after="0" w:before="0" w:line="240" w:lineRule="auto"/>
              <w:jc w:val="left"/>
            </w:pPr>
            <w:r>
              <w:rPr>
                <w:sz w:val="19"/>
              </w:rPr>
              <w:t>OASIS-1</w:t>
            </w:r>
          </w:p>
        </w:tc>
        <w:tc>
          <w:tcPr>
            <w:tcW w:type="dxa" w:w="1933"/>
          </w:tcPr>
          <w:p>
            <w:pPr>
              <w:spacing w:after="0" w:before="0" w:line="240" w:lineRule="auto"/>
              <w:jc w:val="center"/>
            </w:pPr>
            <w:r>
              <w:rPr>
                <w:sz w:val="19"/>
              </w:rPr>
              <w:t>30</w:t>
            </w:r>
          </w:p>
        </w:tc>
        <w:tc>
          <w:tcPr>
            <w:tcW w:type="dxa" w:w="1933"/>
          </w:tcPr>
          <w:p>
            <w:pPr>
              <w:spacing w:after="0" w:before="0" w:line="240" w:lineRule="auto"/>
              <w:jc w:val="center"/>
            </w:pPr>
            <w:r>
              <w:rPr>
                <w:sz w:val="19"/>
              </w:rPr>
              <w:t>15</w:t>
            </w:r>
          </w:p>
        </w:tc>
        <w:tc>
          <w:tcPr>
            <w:tcW w:type="dxa" w:w="1933"/>
          </w:tcPr>
          <w:p>
            <w:pPr>
              <w:spacing w:after="0" w:before="0" w:line="240" w:lineRule="auto"/>
              <w:jc w:val="center"/>
            </w:pPr>
            <w:r>
              <w:rPr>
                <w:sz w:val="19"/>
              </w:rPr>
              <w:t>0,729</w:t>
            </w:r>
          </w:p>
        </w:tc>
      </w:tr>
      <w:tr>
        <w:tc>
          <w:tcPr>
            <w:tcW w:type="dxa" w:w="2988"/>
          </w:tcPr>
          <w:p>
            <w:pPr>
              <w:spacing w:after="0" w:before="0" w:line="240" w:lineRule="auto"/>
              <w:jc w:val="left"/>
            </w:pPr>
            <w:r>
              <w:rPr>
                <w:sz w:val="19"/>
              </w:rPr>
              <w:t>OASIS-2</w:t>
            </w:r>
          </w:p>
        </w:tc>
        <w:tc>
          <w:tcPr>
            <w:tcW w:type="dxa" w:w="1933"/>
          </w:tcPr>
          <w:p>
            <w:pPr>
              <w:spacing w:after="0" w:before="0" w:line="240" w:lineRule="auto"/>
              <w:jc w:val="center"/>
            </w:pPr>
            <w:r>
              <w:rPr>
                <w:sz w:val="19"/>
              </w:rPr>
              <w:t>23</w:t>
            </w:r>
          </w:p>
        </w:tc>
        <w:tc>
          <w:tcPr>
            <w:tcW w:type="dxa" w:w="1933"/>
          </w:tcPr>
          <w:p>
            <w:pPr>
              <w:spacing w:after="0" w:before="0" w:line="240" w:lineRule="auto"/>
              <w:jc w:val="center"/>
            </w:pPr>
            <w:r>
              <w:rPr>
                <w:sz w:val="19"/>
              </w:rPr>
              <w:t>12</w:t>
            </w:r>
          </w:p>
        </w:tc>
        <w:tc>
          <w:tcPr>
            <w:tcW w:type="dxa" w:w="1933"/>
          </w:tcPr>
          <w:p>
            <w:pPr>
              <w:spacing w:after="0" w:before="0" w:line="240" w:lineRule="auto"/>
              <w:jc w:val="center"/>
            </w:pPr>
            <w:r>
              <w:rPr>
                <w:sz w:val="19"/>
              </w:rPr>
              <w:t>0,788</w:t>
            </w:r>
          </w:p>
        </w:tc>
      </w:tr>
      <w:tr>
        <w:tc>
          <w:tcPr>
            <w:tcW w:type="dxa" w:w="2988"/>
          </w:tcPr>
          <w:p>
            <w:pPr>
              <w:spacing w:after="0" w:before="0" w:line="240" w:lineRule="auto"/>
              <w:jc w:val="left"/>
            </w:pPr>
            <w:r>
              <w:rPr>
                <w:sz w:val="19"/>
              </w:rPr>
              <w:t>Yaş &lt; 75</w:t>
            </w:r>
          </w:p>
        </w:tc>
        <w:tc>
          <w:tcPr>
            <w:tcW w:type="dxa" w:w="1933"/>
          </w:tcPr>
          <w:p>
            <w:pPr>
              <w:spacing w:after="0" w:before="0" w:line="240" w:lineRule="auto"/>
              <w:jc w:val="center"/>
            </w:pPr>
            <w:r>
              <w:rPr>
                <w:sz w:val="19"/>
              </w:rPr>
              <w:t>27</w:t>
            </w:r>
          </w:p>
        </w:tc>
        <w:tc>
          <w:tcPr>
            <w:tcW w:type="dxa" w:w="1933"/>
          </w:tcPr>
          <w:p>
            <w:pPr>
              <w:spacing w:after="0" w:before="0" w:line="240" w:lineRule="auto"/>
              <w:jc w:val="center"/>
            </w:pPr>
            <w:r>
              <w:rPr>
                <w:sz w:val="19"/>
              </w:rPr>
              <w:t>13</w:t>
            </w:r>
          </w:p>
        </w:tc>
        <w:tc>
          <w:tcPr>
            <w:tcW w:type="dxa" w:w="1933"/>
          </w:tcPr>
          <w:p>
            <w:pPr>
              <w:spacing w:after="0" w:before="0" w:line="240" w:lineRule="auto"/>
              <w:jc w:val="center"/>
            </w:pPr>
            <w:r>
              <w:rPr>
                <w:sz w:val="19"/>
              </w:rPr>
              <w:t>0,698</w:t>
            </w:r>
          </w:p>
        </w:tc>
      </w:tr>
      <w:tr>
        <w:tc>
          <w:tcPr>
            <w:tcW w:type="dxa" w:w="2988"/>
          </w:tcPr>
          <w:p>
            <w:pPr>
              <w:spacing w:after="0" w:before="0" w:line="240" w:lineRule="auto"/>
              <w:jc w:val="left"/>
            </w:pPr>
            <w:r>
              <w:rPr>
                <w:sz w:val="19"/>
              </w:rPr>
              <w:t>Yaş ≥ 75</w:t>
            </w:r>
          </w:p>
        </w:tc>
        <w:tc>
          <w:tcPr>
            <w:tcW w:type="dxa" w:w="1933"/>
          </w:tcPr>
          <w:p>
            <w:pPr>
              <w:spacing w:after="0" w:before="0" w:line="240" w:lineRule="auto"/>
              <w:jc w:val="center"/>
            </w:pPr>
            <w:r>
              <w:rPr>
                <w:sz w:val="19"/>
              </w:rPr>
              <w:t>26</w:t>
            </w:r>
          </w:p>
        </w:tc>
        <w:tc>
          <w:tcPr>
            <w:tcW w:type="dxa" w:w="1933"/>
          </w:tcPr>
          <w:p>
            <w:pPr>
              <w:spacing w:after="0" w:before="0" w:line="240" w:lineRule="auto"/>
              <w:jc w:val="center"/>
            </w:pPr>
            <w:r>
              <w:rPr>
                <w:sz w:val="19"/>
              </w:rPr>
              <w:t>14</w:t>
            </w:r>
          </w:p>
        </w:tc>
        <w:tc>
          <w:tcPr>
            <w:tcW w:type="dxa" w:w="1933"/>
          </w:tcPr>
          <w:p>
            <w:pPr>
              <w:spacing w:after="0" w:before="0" w:line="240" w:lineRule="auto"/>
              <w:jc w:val="center"/>
            </w:pPr>
            <w:r>
              <w:rPr>
                <w:b/>
                <w:sz w:val="19"/>
              </w:rPr>
              <w:t>0,839</w:t>
            </w:r>
          </w:p>
        </w:tc>
      </w:tr>
    </w:tbl>
    <w:p>
      <w:pPr>
        <w:spacing w:after="160"/>
      </w:pPr>
    </w:p>
    <w:p>
      <w:pPr>
        <w:spacing w:before="80" w:after="140"/>
        <w:jc w:val="both"/>
      </w:pPr>
      <w:r>
        <w:t xml:space="preserve">Model ileri yaşta belirgin şekilde daha iyi (0,839 vs 0,698). Bu klinik olarak tutarlı: atrofi ileri evrede daha belirgin. Erken teşhis hedefi açısından ise bu bir </w:t>
      </w:r>
      <w:r>
        <w:rPr>
          <w:b/>
        </w:rPr>
        <w:t>uyarı</w:t>
      </w:r>
      <w:r>
        <w:t xml:space="preserve"> — asıl değerli olan genç hastada erken yakalamak ve orada daha zayıfız.</w:t>
      </w:r>
    </w:p>
    <w:p>
      <w:pPr>
        <w:pStyle w:val="Heading2"/>
        <w:spacing w:before="280" w:after="140"/>
      </w:pPr>
      <w:r>
        <w:t>6.3 Model uyumu — darboğaz mimari mi, veri mi?</w:t>
      </w:r>
    </w:p>
    <w:p>
      <w:pPr>
        <w:spacing w:before="80" w:after="140"/>
        <w:jc w:val="both"/>
      </w:pPr>
      <w:r>
        <w:t xml:space="preserve">Tabloya bakıp 0,792 ile 0,758'i kıyaslamak sorunun yarısı. Diğer yarısı: modeller birbirinden </w:t>
      </w:r>
      <w:r>
        <w:rPr>
          <w:i/>
        </w:rPr>
        <w:t>gerçekten</w:t>
      </w:r>
      <w:r>
        <w:t xml:space="preserve"> farklı şeyler mi öğreniyor? </w:t>
      </w:r>
      <w:r>
        <w:rPr>
          <w:rFonts w:ascii="Consolas" w:hAnsi="Consolas"/>
          <w:sz w:val="20"/>
        </w:rPr>
        <w:t>karsilastirma/uyum_analiz.py</w:t>
      </w:r>
      <w:r>
        <w:t xml:space="preserve"> bunu üç bağımsız yolla ölçüyor (çökmüş koşular analiz dışı):</w:t>
      </w:r>
    </w:p>
    <w:p>
      <w:pPr>
        <w:pStyle w:val="ListBullet"/>
        <w:spacing w:before="40" w:after="40"/>
      </w:pPr>
      <w:r>
        <w:rPr>
          <w:b/>
        </w:rPr>
        <w:t>İkili uyum:</w:t>
      </w:r>
      <w:r>
        <w:t xml:space="preserve"> ortalama </w:t>
      </w:r>
      <w:r>
        <w:rPr>
          <w:b/>
        </w:rPr>
        <w:t>%71</w:t>
      </w:r>
      <w:r>
        <w:t xml:space="preserve">, ortalama Cohen kappa </w:t>
      </w:r>
      <w:r>
        <w:rPr>
          <w:b/>
        </w:rPr>
        <w:t>+0,425</w:t>
      </w:r>
    </w:p>
    <w:p>
      <w:pPr>
        <w:pStyle w:val="ListBullet"/>
        <w:spacing w:before="40" w:after="40"/>
      </w:pPr>
      <w:r>
        <w:rPr>
          <w:b/>
        </w:rPr>
        <w:t>İndirgenemez çekirdek:</w:t>
      </w:r>
      <w:r>
        <w:t xml:space="preserve"> 53 deneğin </w:t>
      </w:r>
      <w:r>
        <w:rPr>
          <w:b/>
        </w:rPr>
        <w:t>6'sını hiçbir model</w:t>
      </w:r>
      <w:r>
        <w:t xml:space="preserve"> bilemiyor, </w:t>
      </w:r>
      <w:r>
        <w:rPr>
          <w:b/>
        </w:rPr>
        <w:t>19'unu hepsi</w:t>
      </w:r>
      <w:r>
        <w:t xml:space="preserve"> biliyor, </w:t>
      </w:r>
      <w:r>
        <w:rPr>
          <w:b/>
        </w:rPr>
        <w:t>28'inde ayrışıyorlar</w:t>
      </w:r>
    </w:p>
    <w:p>
      <w:pPr>
        <w:pStyle w:val="ListBullet"/>
        <w:spacing w:before="40" w:after="40"/>
      </w:pPr>
      <w:r>
        <w:rPr>
          <w:b/>
        </w:rPr>
        <w:t>Topluluk tavanı:</w:t>
      </w:r>
      <w:r>
        <w:t xml:space="preserve"> olasılık ortalamasının AUC'si </w:t>
      </w:r>
      <w:r>
        <w:rPr>
          <w:b/>
        </w:rPr>
        <w:t>0,762</w:t>
      </w:r>
      <w:r>
        <w:t xml:space="preserve">; en iyi tek model 0,758 → </w:t>
      </w:r>
      <w:r>
        <w:rPr>
          <w:b/>
        </w:rPr>
        <w:t>+0,004</w:t>
      </w:r>
    </w:p>
    <w:p>
      <w:pPr>
        <w:spacing w:before="80" w:after="140"/>
        <w:jc w:val="both"/>
      </w:pPr>
      <w:r>
        <w:t xml:space="preserve">Son iki ölçüm birlikte okununca ilginç bir şey çıkıyor: modeller deneklerin yarısında ayrışıyor </w:t>
      </w:r>
      <w:r>
        <w:rPr>
          <w:b/>
        </w:rPr>
        <w:t>ama ortalamaları hiçbir şey kazandırmıyor.</w:t>
      </w:r>
      <w:r>
        <w:t xml:space="preserve"> Eğer bu ayrışma </w:t>
      </w:r>
      <w:r>
        <w:rPr>
          <w:i/>
        </w:rPr>
        <w:t>tamamlayıcı</w:t>
      </w:r>
      <w:r>
        <w:t xml:space="preserve"> olsaydı — her model verinin farklı ama geçerli bir yönünü görseydi — topluluk kazandırırdı. Kazandırmadığına göre ayrışma </w:t>
      </w:r>
      <w:r>
        <w:rPr>
          <w:b/>
        </w:rPr>
        <w:t>gürültü</w:t>
      </w:r>
      <w:r>
        <w:t>: her model aynı karar yüzeyinden gürültülü bir çekiliş. 236 eğitim deneğiyle kayıp yüzeyi düz olduğu için her koşu farklı bir rastgele köşeye oturuyor.</w:t>
      </w:r>
    </w:p>
    <w:p>
      <w:pPr>
        <w:spacing w:before="80" w:after="140"/>
        <w:jc w:val="both"/>
      </w:pPr>
      <w:r>
        <w:t xml:space="preserve">Bu bir </w:t>
      </w:r>
      <w:r>
        <w:rPr>
          <w:b/>
        </w:rPr>
        <w:t>ön işaret</w:t>
      </w:r>
      <w:r>
        <w:t xml:space="preserve">, sonuç değil — tek kat ve sınırlı sayıda koşu üzerinden. Beş kat bittiğinde yeniden koşturacağız. Ama doğrulanırsa tartışma bölümümüzün omurgası olacak: </w:t>
      </w:r>
      <w:r>
        <w:rPr>
          <w:i/>
        </w:rPr>
        <w:t>bu veri hacminde mimari seçimi sanıldığı kadar belirleyici değil; asıl kısıt veri.</w:t>
      </w:r>
    </w:p>
    <w:p>
      <w:pPr>
        <w:spacing w:before="120" w:after="160"/>
        <w:pBdr>
          <w:bottom w:val="single" w:sz="6" w:space="1" w:color="AAB6C0"/>
        </w:pBdr>
      </w:pPr>
    </w:p>
    <w:p>
      <w:pPr>
        <w:pStyle w:val="Heading1"/>
        <w:spacing w:before="360" w:after="180"/>
      </w:pPr>
      <w:r>
        <w:t>7. TEST ALTYAPISI VE SÜREKLİ BÜTÜNLEŞTİRME</w:t>
      </w:r>
    </w:p>
    <w:p>
      <w:pPr>
        <w:pStyle w:val="Heading2"/>
        <w:spacing w:before="280" w:after="140"/>
      </w:pPr>
      <w:r>
        <w:t>7.1 Sürekli bütünleştirme</w:t>
      </w:r>
    </w:p>
    <w:p>
      <w:pPr>
        <w:spacing w:before="80" w:after="140"/>
        <w:jc w:val="both"/>
      </w:pPr>
      <w:r>
        <w:rPr>
          <w:rFonts w:ascii="Consolas" w:hAnsi="Consolas"/>
          <w:sz w:val="20"/>
        </w:rPr>
        <w:t>.github/workflows/testler.yml</w:t>
      </w:r>
      <w:r>
        <w:t xml:space="preserve"> her push'ta </w:t>
      </w:r>
      <w:r>
        <w:rPr>
          <w:b/>
        </w:rPr>
        <w:t>Ubuntu ve Windows üzerinde ayrı ayrı</w:t>
      </w:r>
      <w:r>
        <w:t xml:space="preserve"> şunları koşuyor:</w:t>
      </w:r>
    </w:p>
    <w:p>
      <w:pPr>
        <w:pStyle w:val="ListNumber"/>
        <w:spacing w:before="40" w:after="40"/>
      </w:pPr>
      <w:r>
        <w:t>Sürüm raporu (python, torch, monai, numpy, SimpleITK)</w:t>
      </w:r>
    </w:p>
    <w:p>
      <w:pPr>
        <w:pStyle w:val="ListNumber"/>
        <w:spacing w:before="40" w:after="40"/>
      </w:pPr>
      <w:r>
        <w:t>Model duman testi — altı mimarinin hepsi sözleşmeye uyuyor mu, ileri/geri geçiş çalışıyor mu</w:t>
      </w:r>
    </w:p>
    <w:p>
      <w:pPr>
        <w:pStyle w:val="ListNumber"/>
        <w:spacing w:before="40" w:after="40"/>
      </w:pPr>
      <w:r>
        <w:t>Ön işleme duman testi — z-score, maske, boyutlandırma, uçtan uca hat, meta JSON</w:t>
      </w:r>
    </w:p>
    <w:p>
      <w:pPr>
        <w:pStyle w:val="ListNumber"/>
        <w:spacing w:before="40" w:after="40"/>
      </w:pPr>
      <w:r>
        <w:t>Sağlık testleri (§7.2)</w:t>
      </w:r>
    </w:p>
    <w:p>
      <w:pPr>
        <w:pStyle w:val="ListNumber"/>
        <w:spacing w:before="40" w:after="40"/>
      </w:pPr>
      <w:r>
        <w:t>ONNX dışa aktarma</w:t>
      </w:r>
    </w:p>
    <w:p>
      <w:pPr>
        <w:pStyle w:val="ListNumber"/>
        <w:spacing w:before="40" w:after="40"/>
      </w:pPr>
      <w:r>
        <w:t>Karar destek çıkarımı</w:t>
      </w:r>
    </w:p>
    <w:p>
      <w:pPr>
        <w:pStyle w:val="ListNumber"/>
        <w:spacing w:before="40" w:after="40"/>
      </w:pPr>
      <w:r>
        <w:t>Tablo üreteci</w:t>
      </w:r>
    </w:p>
    <w:p>
      <w:pPr>
        <w:spacing w:before="80" w:after="140"/>
        <w:jc w:val="both"/>
      </w:pPr>
      <w:r>
        <w:t xml:space="preserve">Bir ekip üyesi </w:t>
      </w:r>
      <w:r>
        <w:rPr>
          <w:rFonts w:ascii="Consolas" w:hAnsi="Consolas"/>
          <w:sz w:val="20"/>
        </w:rPr>
        <w:t>model.py</w:t>
      </w:r>
      <w:r>
        <w:t xml:space="preserve"> yazdığı anda CI onu kendiliğinden bulup 32³ rastgele hacimde sınıyor. Sözleşmeye uymazsa rozet kırmızıya dönüyor. Bunun işe yaradığını bilerek bir modeli bozup doğruladık. Kuralımız: </w:t>
      </w:r>
      <w:r>
        <w:rPr>
          <w:b/>
        </w:rPr>
        <w:t>rozet kırmızıysa önce o düzeltilir</w:t>
      </w:r>
      <w:r>
        <w:t>, üstüne yeni iş yığılmaz.</w:t>
      </w:r>
    </w:p>
    <w:p>
      <w:pPr>
        <w:pStyle w:val="Heading2"/>
        <w:spacing w:before="280" w:after="140"/>
      </w:pPr>
      <w:r>
        <w:t>7.2 Sağlık testleri — hattın kendisini sınamak</w:t>
      </w:r>
    </w:p>
    <w:p>
      <w:pPr>
        <w:spacing w:before="80" w:after="140"/>
        <w:jc w:val="both"/>
      </w:pPr>
      <w:r>
        <w:rPr>
          <w:rFonts w:ascii="Consolas" w:hAnsi="Consolas"/>
          <w:sz w:val="20"/>
        </w:rPr>
        <w:t>saglik_testi.py</w:t>
      </w:r>
      <w:r>
        <w:t xml:space="preserve"> gerçek veri, GPU veya internet olmadan eğitim hattını uçtan uca sınıyor ve dört şeyi kanıtlıyor:</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Test</w:t>
            </w:r>
          </w:p>
        </w:tc>
        <w:tc>
          <w:tcPr>
            <w:tcW w:type="dxa" w:w="2900"/>
            <w:shd w:val="clear" w:color="auto" w:fill="E8EDF2"/>
          </w:tcPr>
          <w:p>
            <w:pPr>
              <w:spacing w:after="0" w:before="0" w:line="240" w:lineRule="auto"/>
              <w:jc w:val="center"/>
            </w:pPr>
            <w:r>
              <w:rPr>
                <w:b/>
                <w:sz w:val="19"/>
              </w:rPr>
              <w:t>Beklenen</w:t>
            </w:r>
          </w:p>
        </w:tc>
        <w:tc>
          <w:tcPr>
            <w:tcW w:type="dxa" w:w="2900"/>
            <w:shd w:val="clear" w:color="auto" w:fill="E8EDF2"/>
          </w:tcPr>
          <w:p>
            <w:pPr>
              <w:spacing w:after="0" w:before="0" w:line="240" w:lineRule="auto"/>
              <w:jc w:val="center"/>
            </w:pPr>
            <w:r>
              <w:rPr>
                <w:b/>
                <w:sz w:val="19"/>
              </w:rPr>
              <w:t>Neyi kanıtlıyor</w:t>
            </w:r>
          </w:p>
        </w:tc>
      </w:tr>
      <w:tr>
        <w:tc>
          <w:tcPr>
            <w:tcW w:type="dxa" w:w="2988"/>
          </w:tcPr>
          <w:p>
            <w:pPr>
              <w:spacing w:after="0" w:before="0" w:line="240" w:lineRule="auto"/>
              <w:jc w:val="left"/>
            </w:pPr>
            <w:r>
              <w:rPr>
                <w:sz w:val="19"/>
              </w:rPr>
              <w:t>Rastgele etiket</w:t>
            </w:r>
          </w:p>
        </w:tc>
        <w:tc>
          <w:tcPr>
            <w:tcW w:type="dxa" w:w="2900"/>
          </w:tcPr>
          <w:p>
            <w:pPr>
              <w:spacing w:after="0" w:before="0" w:line="240" w:lineRule="auto"/>
              <w:jc w:val="center"/>
            </w:pPr>
            <w:r>
              <w:rPr>
                <w:sz w:val="19"/>
              </w:rPr>
              <w:t>doğrulama BAcc ≈ 0,5</w:t>
            </w:r>
          </w:p>
        </w:tc>
        <w:tc>
          <w:tcPr>
            <w:tcW w:type="dxa" w:w="2900"/>
          </w:tcPr>
          <w:p>
            <w:pPr>
              <w:spacing w:after="0" w:before="0" w:line="240" w:lineRule="auto"/>
              <w:jc w:val="center"/>
            </w:pPr>
            <w:r>
              <w:rPr>
                <w:sz w:val="19"/>
              </w:rPr>
              <w:t xml:space="preserve">Hat etiketten bağımsız sinyal </w:t>
            </w:r>
            <w:r>
              <w:rPr>
                <w:b/>
                <w:sz w:val="19"/>
              </w:rPr>
              <w:t>uydurmuyor</w:t>
            </w:r>
            <w:r>
              <w:rPr>
                <w:sz w:val="19"/>
              </w:rPr>
              <w:t xml:space="preserve"> — sızıntı yok</w:t>
            </w:r>
          </w:p>
        </w:tc>
      </w:tr>
      <w:tr>
        <w:tc>
          <w:tcPr>
            <w:tcW w:type="dxa" w:w="2988"/>
          </w:tcPr>
          <w:p>
            <w:pPr>
              <w:spacing w:after="0" w:before="0" w:line="240" w:lineRule="auto"/>
              <w:jc w:val="left"/>
            </w:pPr>
            <w:r>
              <w:rPr>
                <w:sz w:val="19"/>
              </w:rPr>
              <w:t>Ayrılabilir iki sınıf</w:t>
            </w:r>
          </w:p>
        </w:tc>
        <w:tc>
          <w:tcPr>
            <w:tcW w:type="dxa" w:w="2900"/>
          </w:tcPr>
          <w:p>
            <w:pPr>
              <w:spacing w:after="0" w:before="0" w:line="240" w:lineRule="auto"/>
              <w:jc w:val="center"/>
            </w:pPr>
            <w:r>
              <w:rPr>
                <w:sz w:val="19"/>
              </w:rPr>
              <w:t>doğrulama BAcc ≈ 1,0</w:t>
            </w:r>
          </w:p>
        </w:tc>
        <w:tc>
          <w:tcPr>
            <w:tcW w:type="dxa" w:w="2900"/>
          </w:tcPr>
          <w:p>
            <w:pPr>
              <w:spacing w:after="0" w:before="0" w:line="240" w:lineRule="auto"/>
              <w:jc w:val="center"/>
            </w:pPr>
            <w:r>
              <w:rPr>
                <w:sz w:val="19"/>
              </w:rPr>
              <w:t>Hat gerçekten öğrenebiliyor — kayıp ve optimizatör doğru bağlı</w:t>
            </w:r>
          </w:p>
        </w:tc>
      </w:tr>
      <w:tr>
        <w:tc>
          <w:tcPr>
            <w:tcW w:type="dxa" w:w="2988"/>
          </w:tcPr>
          <w:p>
            <w:pPr>
              <w:spacing w:after="0" w:before="0" w:line="240" w:lineRule="auto"/>
              <w:jc w:val="left"/>
            </w:pPr>
            <w:r>
              <w:rPr>
                <w:sz w:val="19"/>
              </w:rPr>
              <w:t>Bölme kesişimi</w:t>
            </w:r>
          </w:p>
        </w:tc>
        <w:tc>
          <w:tcPr>
            <w:tcW w:type="dxa" w:w="2900"/>
          </w:tcPr>
          <w:p>
            <w:pPr>
              <w:spacing w:after="0" w:before="0" w:line="240" w:lineRule="auto"/>
              <w:jc w:val="center"/>
            </w:pPr>
            <w:r>
              <w:rPr>
                <w:sz w:val="19"/>
              </w:rPr>
              <w:t>boş</w:t>
            </w:r>
          </w:p>
        </w:tc>
        <w:tc>
          <w:tcPr>
            <w:tcW w:type="dxa" w:w="2900"/>
          </w:tcPr>
          <w:p>
            <w:pPr>
              <w:spacing w:after="0" w:before="0" w:line="240" w:lineRule="auto"/>
              <w:jc w:val="center"/>
            </w:pPr>
            <w:r>
              <w:rPr>
                <w:sz w:val="19"/>
              </w:rPr>
              <w:t>Denek düzeyinde ayrım çalışıyor</w:t>
            </w:r>
          </w:p>
        </w:tc>
      </w:tr>
      <w:tr>
        <w:tc>
          <w:tcPr>
            <w:tcW w:type="dxa" w:w="2988"/>
          </w:tcPr>
          <w:p>
            <w:pPr>
              <w:spacing w:after="0" w:before="0" w:line="240" w:lineRule="auto"/>
              <w:jc w:val="left"/>
            </w:pPr>
            <w:r>
              <w:rPr>
                <w:sz w:val="19"/>
              </w:rPr>
              <w:t>Koşu kaydı</w:t>
            </w:r>
          </w:p>
        </w:tc>
        <w:tc>
          <w:tcPr>
            <w:tcW w:type="dxa" w:w="2900"/>
          </w:tcPr>
          <w:p>
            <w:pPr>
              <w:spacing w:after="0" w:before="0" w:line="240" w:lineRule="auto"/>
              <w:jc w:val="center"/>
            </w:pPr>
            <w:r>
              <w:rPr>
                <w:sz w:val="19"/>
              </w:rPr>
              <w:t>zorunlu alanlar tam</w:t>
            </w:r>
          </w:p>
        </w:tc>
        <w:tc>
          <w:tcPr>
            <w:tcW w:type="dxa" w:w="2900"/>
          </w:tcPr>
          <w:p>
            <w:pPr>
              <w:spacing w:after="0" w:before="0" w:line="240" w:lineRule="auto"/>
              <w:jc w:val="center"/>
            </w:pPr>
            <w:r>
              <w:rPr>
                <w:sz w:val="19"/>
              </w:rPr>
              <w:t>Tekrarlanabilirlik künyesi eksiksiz, farklı LR'ler birbirini ezmiyor</w:t>
            </w:r>
          </w:p>
        </w:tc>
      </w:tr>
    </w:tbl>
    <w:p>
      <w:pPr>
        <w:spacing w:after="160"/>
      </w:pPr>
    </w:p>
    <w:p>
      <w:pPr>
        <w:spacing w:before="80" w:after="140"/>
        <w:jc w:val="both"/>
      </w:pPr>
      <w:r>
        <w:t xml:space="preserve">İlk iki test birlikte önemli: tek başına "model öğrendi" demek yetmez, </w:t>
      </w:r>
      <w:r>
        <w:rPr>
          <w:b/>
        </w:rPr>
        <w:t>öğrenmemesi gerektiğinde öğrenmediğini</w:t>
      </w:r>
      <w:r>
        <w:t xml:space="preserve"> de göstermek gerekir. Sızıntılı bir hat rastgele etiketlerle de yüksek skor verir.</w:t>
      </w:r>
    </w:p>
    <w:p>
      <w:pPr>
        <w:pStyle w:val="Heading2"/>
        <w:spacing w:before="280" w:after="140"/>
      </w:pPr>
      <w:r>
        <w:t>7.3 Ölçüm araçları</w:t>
      </w:r>
    </w:p>
    <w:p>
      <w:pPr>
        <w:spacing w:before="80" w:after="140"/>
        <w:jc w:val="both"/>
      </w:pPr>
      <w:r>
        <w:rPr>
          <w:rFonts w:ascii="Consolas" w:hAnsi="Consolas"/>
          <w:sz w:val="20"/>
        </w:rPr>
        <w:t>vram_olc.py</w:t>
      </w:r>
      <w:r>
        <w:t xml:space="preserve"> her model × girdi boyutu × batch için tepe VRAM'i ölçüyor. Bunu tahminle yapmıyoruz, çünkü tahminimiz bir kez on kat yanlış çıktı (§8.3).</w:t>
      </w:r>
    </w:p>
    <w:p>
      <w:pPr>
        <w:spacing w:before="120" w:after="160"/>
        <w:pBdr>
          <w:bottom w:val="single" w:sz="6" w:space="1" w:color="AAB6C0"/>
        </w:pBdr>
      </w:pPr>
    </w:p>
    <w:p>
      <w:pPr>
        <w:pStyle w:val="Heading1"/>
        <w:spacing w:before="360" w:after="180"/>
      </w:pPr>
      <w:r>
        <w:t>8. ÇALIŞIRKEN BULDUĞUMUZ ŞEYLER</w:t>
      </w:r>
    </w:p>
    <w:p>
      <w:pPr>
        <w:spacing w:before="80" w:after="140"/>
        <w:jc w:val="both"/>
      </w:pPr>
      <w:r>
        <w:t>Bu bölüm bize en çok şey öğreten kısım. Sentetik testlerin göremediği hataları ancak gerçek veriyle koşunca bulduk.</w:t>
      </w:r>
    </w:p>
    <w:p>
      <w:pPr>
        <w:pStyle w:val="Heading2"/>
        <w:spacing w:before="280" w:after="140"/>
      </w:pPr>
      <w:r>
        <w:t>8.1 MNI kaydı her hacimde çöküyordu</w:t>
      </w:r>
    </w:p>
    <w:p>
      <w:pPr>
        <w:spacing w:before="80" w:after="140"/>
        <w:jc w:val="both"/>
      </w:pPr>
      <w:r>
        <w:t xml:space="preserve">Hata mesajı "tüm örnekler hareketli görüntü tamponunun dışına düşüyor" idi. İki nedeni vardı: başlatıcı olarak </w:t>
      </w:r>
      <w:r>
        <w:rPr>
          <w:rFonts w:ascii="Consolas" w:hAnsi="Consolas"/>
          <w:sz w:val="20"/>
        </w:rPr>
        <w:t>MOMENTS</w:t>
      </w:r>
      <w:r>
        <w:t xml:space="preserve"> kullanıyorduk ve z-score'u kayıttan </w:t>
      </w:r>
      <w:r>
        <w:rPr>
          <w:i/>
        </w:rPr>
        <w:t>önce</w:t>
      </w:r>
      <w:r>
        <w:t xml:space="preserve"> uyguluyorduk. Normalize edilmiş veride moment tabanlı başlatma anlamsız. </w:t>
      </w:r>
      <w:r>
        <w:rPr>
          <w:rFonts w:ascii="Consolas" w:hAnsi="Consolas"/>
          <w:sz w:val="20"/>
        </w:rPr>
        <w:t>GEOMETRY</w:t>
      </w:r>
      <w:r>
        <w:t xml:space="preserve"> başlatıcıya geçip adım sırasını düzelttik. Sonuç: 143 hacmin 143'ünde kayıt metriği −0,53 ile −0,46 arasında, tek uyarı yok.</w:t>
      </w:r>
    </w:p>
    <w:p>
      <w:pPr>
        <w:pStyle w:val="Heading2"/>
        <w:spacing w:before="280" w:after="140"/>
      </w:pPr>
      <w:r>
        <w:t>8.2 Türkçe klasör adı kütüphaneyi kırıyordu</w:t>
      </w:r>
    </w:p>
    <w:p>
      <w:pPr>
        <w:spacing w:before="80" w:after="140"/>
        <w:jc w:val="both"/>
      </w:pPr>
      <w:r>
        <w:rPr>
          <w:rFonts w:ascii="Consolas" w:hAnsi="Consolas"/>
          <w:sz w:val="20"/>
        </w:rPr>
        <w:t>SimpleITK</w:t>
      </w:r>
      <w:r>
        <w:t xml:space="preserve">, kullanıcı klasörümüzdeki Türkçe karakter yüzünden dosya açamıyordu; </w:t>
      </w:r>
      <w:r>
        <w:rPr>
          <w:rFonts w:ascii="Consolas" w:hAnsi="Consolas"/>
          <w:sz w:val="20"/>
        </w:rPr>
        <w:t>nibabel</w:t>
      </w:r>
      <w:r>
        <w:t xml:space="preserve"> aynı dosyayı sorunsuz okuyordu. Windows'un 8.3 kısa yol biçimine çevirerek çözdük. Burada ince bir ayrıntı var: </w:t>
      </w:r>
      <w:r>
        <w:rPr>
          <w:b/>
        </w:rPr>
        <w:t>yalnız klasörü kısaltmak gerekiyor</w:t>
      </w:r>
      <w:r>
        <w:t xml:space="preserve"> — dosyayı da kısaltınca uzantı bozuluyor (</w:t>
      </w:r>
      <w:r>
        <w:rPr>
          <w:rFonts w:ascii="Consolas" w:hAnsi="Consolas"/>
          <w:sz w:val="20"/>
        </w:rPr>
        <w:t>sub-01_ses-01_T1w.nii.gz</w:t>
      </w:r>
      <w:r>
        <w:t xml:space="preserve"> → </w:t>
      </w:r>
      <w:r>
        <w:rPr>
          <w:rFonts w:ascii="Consolas" w:hAnsi="Consolas"/>
          <w:sz w:val="20"/>
        </w:rPr>
        <w:t>SUB-01~1.GZ</w:t>
      </w:r>
      <w:r>
        <w:t>) ve dosya biçimi tanınamıyor.</w:t>
      </w:r>
    </w:p>
    <w:p>
      <w:pPr>
        <w:pStyle w:val="Heading2"/>
        <w:spacing w:before="280" w:after="140"/>
      </w:pPr>
      <w:r>
        <w:t>8.3 VRAM tahminimiz on kat yanlıştı</w:t>
      </w:r>
    </w:p>
    <w:p>
      <w:pPr>
        <w:spacing w:before="80" w:after="140"/>
        <w:jc w:val="both"/>
      </w:pPr>
      <w:r>
        <w:t xml:space="preserve">Kurulum belgemizde "ResNet-18 128³ sığmaz, 8–12 GB gerekir" yazıyordu. Ölçtük: </w:t>
      </w:r>
      <w:r>
        <w:rPr>
          <w:b/>
        </w:rPr>
        <w:t>1,58 GB.</w:t>
      </w:r>
      <w:r>
        <w:t xml:space="preserve"> Bu yanlış tahmin yüzünden neredeyse bütün koşuları bulut GPU'suna taşıyacaktık. Dersimiz: bellek tahmini yapmayın, ölçün.</w:t>
      </w:r>
    </w:p>
    <w:p>
      <w:pPr>
        <w:pStyle w:val="Heading2"/>
        <w:spacing w:before="280" w:after="140"/>
      </w:pPr>
      <w:r>
        <w:t>8.4 Sessiz yavaşlama — en pahalı dersimiz</w:t>
      </w:r>
    </w:p>
    <w:p>
      <w:pPr>
        <w:spacing w:before="80" w:after="140"/>
        <w:jc w:val="both"/>
      </w:pPr>
      <w:r>
        <w:t xml:space="preserve">VoxResNet'i batch 4 ile başlattık ve epoch başına </w:t>
      </w:r>
      <w:r>
        <w:rPr>
          <w:b/>
        </w:rPr>
        <w:t>7 dakika</w:t>
      </w:r>
      <w:r>
        <w:t xml:space="preserve"> sürdüğünü gördük; VoxCNN aynı veride 32 saniye sürüyordu. Ölçüm nedeni gösterdi: VoxResNet batch 4'te 3,59 GB istiyor, kartımız 4,0 GB. Araç "sığdı" diyor, program çökmüyor — ama Windows WDDM kalan belleği sistem RAM'ine taşıdığı için </w:t>
      </w:r>
      <w:r>
        <w:rPr>
          <w:b/>
        </w:rPr>
        <w:t>13 kat yavaşlıyor.</w:t>
      </w:r>
      <w:r>
        <w:t xml:space="preserve"> 60 epoch o hızda 7 saat sürecekti.</w:t>
      </w:r>
    </w:p>
    <w:p>
      <w:pPr>
        <w:spacing w:before="80" w:after="140"/>
        <w:jc w:val="both"/>
      </w:pPr>
      <w:r>
        <w:t xml:space="preserve">Kuralımızı buna göre yazdık: </w:t>
      </w:r>
      <w:r>
        <w:rPr>
          <w:b/>
        </w:rPr>
        <w:t>"sığdı" demek yetmiyor; eşik kartın kapasitesi değil, kapasitesinin yaklaşık %75'i.</w:t>
      </w:r>
      <w:r>
        <w:t xml:space="preserve"> 4 GB kartta hedef ≤ 3,0 GB. Aşan modeller </w:t>
      </w:r>
      <w:r>
        <w:rPr>
          <w:rFonts w:ascii="Consolas" w:hAnsi="Consolas"/>
          <w:sz w:val="20"/>
        </w:rPr>
        <w:t>--batch 2 --accum 2</w:t>
      </w:r>
      <w:r>
        <w:t xml:space="preserve"> ile koşuyor ve etkin batch sabit kaldığı için karşılaştırma bozulmuyor. Ayrıca </w:t>
      </w:r>
      <w:r>
        <w:rPr>
          <w:rFonts w:ascii="Consolas" w:hAnsi="Consolas"/>
          <w:sz w:val="20"/>
        </w:rPr>
        <w:t>expandable_segments</w:t>
      </w:r>
      <w:r>
        <w:t xml:space="preserve"> ayırıcısını açtık; dar VRAM'de bellek parçalanması tek başına yüzlerce MB yiyor.</w:t>
      </w:r>
    </w:p>
    <w:p>
      <w:pPr>
        <w:pStyle w:val="Heading2"/>
        <w:spacing w:before="280" w:after="140"/>
      </w:pPr>
      <w:r>
        <w:t>8.5 Kendi sonuç tablomuz sonuçlarımızı eliyordu</w:t>
      </w:r>
    </w:p>
    <w:p>
      <w:pPr>
        <w:spacing w:before="80" w:after="140"/>
        <w:jc w:val="both"/>
      </w:pPr>
      <w:r>
        <w:rPr>
          <w:rFonts w:ascii="Consolas" w:hAnsi="Consolas"/>
          <w:sz w:val="20"/>
        </w:rPr>
        <w:t>tablo_uret.py</w:t>
      </w:r>
      <w:r>
        <w:t xml:space="preserve">, geliştirme kartında (RTX 3050) üretilen koşuları tablodan çıkarıyordu. O kural, modellerin bu karta </w:t>
      </w:r>
      <w:r>
        <w:rPr>
          <w:i/>
        </w:rPr>
        <w:t>sığmadığını varsaydığımız</w:t>
      </w:r>
      <w:r>
        <w:t xml:space="preserve"> dönemde yazılmıştı. Ölçünce hepsinin sığdığını görünce kural gerçek sonuçlarımızın tamamını çöpe atmaya başladı.</w:t>
      </w:r>
    </w:p>
    <w:p>
      <w:pPr>
        <w:spacing w:before="80" w:after="140"/>
        <w:jc w:val="both"/>
      </w:pPr>
      <w:r>
        <w:t xml:space="preserve">Kuralı silmek yerine doğru değişmez üzerine kurduk: karşılaştırmayı bozan şey kartın markası değil, </w:t>
      </w:r>
      <w:r>
        <w:rPr>
          <w:b/>
        </w:rPr>
        <w:t>eğitim yordamının farklı olması</w:t>
      </w:r>
      <w:r>
        <w:t xml:space="preserve">. 4 GB kartta </w:t>
      </w:r>
      <w:r>
        <w:rPr>
          <w:rFonts w:ascii="Consolas" w:hAnsi="Consolas"/>
          <w:sz w:val="20"/>
        </w:rPr>
        <w:t>--batch 2 --accum 2</w:t>
      </w:r>
      <w:r>
        <w:t xml:space="preserve"> koşan model, 24 GB kartta </w:t>
      </w:r>
      <w:r>
        <w:rPr>
          <w:rFonts w:ascii="Consolas" w:hAnsi="Consolas"/>
          <w:sz w:val="20"/>
        </w:rPr>
        <w:t>--batch 4</w:t>
      </w:r>
      <w:r>
        <w:t xml:space="preserve"> koşanla aynı etkin batch'i görür ve karşılaştırma geçerlidir. Yeni dışlama ölçütü etkin batch ve girdi boyutu. Kart adı yalnızca nota düşüyor: </w:t>
      </w:r>
      <w:r>
        <w:rPr>
          <w:i/>
        </w:rPr>
        <w:t>metrikler karşılaştırılabilir, süre sütunu karşılaştırılamaz.</w:t>
      </w:r>
    </w:p>
    <w:p>
      <w:pPr>
        <w:pStyle w:val="Heading2"/>
        <w:spacing w:before="280" w:after="140"/>
      </w:pPr>
      <w:r>
        <w:t>8.6 "±0,000" yanıltıcıydı</w:t>
      </w:r>
    </w:p>
    <w:p>
      <w:pPr>
        <w:spacing w:before="80" w:after="140"/>
        <w:jc w:val="both"/>
      </w:pPr>
      <w:r>
        <w:t xml:space="preserve">Tek koşuda tablomuz </w:t>
      </w:r>
      <w:r>
        <w:rPr>
          <w:rFonts w:ascii="Consolas" w:hAnsi="Consolas"/>
          <w:sz w:val="20"/>
        </w:rPr>
        <w:t>0,620±0,000</w:t>
      </w:r>
      <w:r>
        <w:t xml:space="preserve"> yazıyordu. Sapma sıfır değil, </w:t>
      </w:r>
      <w:r>
        <w:rPr>
          <w:b/>
        </w:rPr>
        <w:t>hesaplanamıyor</w:t>
      </w:r>
      <w:r>
        <w:t xml:space="preserve"> — ama o yazım "bu sonuç kat değişiminden etkilenmiyor" diye okunuyor. </w:t>
      </w:r>
      <w:r>
        <w:rPr>
          <w:rFonts w:ascii="Consolas" w:hAnsi="Consolas"/>
          <w:sz w:val="20"/>
        </w:rPr>
        <w:t>(tek koşu)</w:t>
      </w:r>
      <w:r>
        <w:t xml:space="preserve"> yazacak şekilde düzelttik.</w:t>
      </w:r>
    </w:p>
    <w:p>
      <w:pPr>
        <w:spacing w:before="120" w:after="160"/>
        <w:pBdr>
          <w:bottom w:val="single" w:sz="6" w:space="1" w:color="AAB6C0"/>
        </w:pBdr>
      </w:pPr>
    </w:p>
    <w:p>
      <w:pPr>
        <w:pStyle w:val="Heading1"/>
        <w:spacing w:before="360" w:after="180"/>
      </w:pPr>
      <w:r>
        <w:t>9. KISITLAR VE DÜRÜST DEĞERLENDİRME</w:t>
      </w:r>
    </w:p>
    <w:p>
      <w:pPr>
        <w:pStyle w:val="Heading2"/>
        <w:spacing w:before="280" w:after="140"/>
      </w:pPr>
      <w:r>
        <w:t>9.1 Veri ölçeği</w:t>
      </w:r>
    </w:p>
    <w:p>
      <w:pPr>
        <w:spacing w:before="80" w:after="140"/>
        <w:jc w:val="both"/>
      </w:pPr>
      <w:r>
        <w:t>236 eğitim deneğiyle 3B evrişimli ağ eğitmek literatürdeki ölçeklerin (binlerce denek) çok altında. §6.3'teki topluluk ölçümü bu kısıtın etkisini doğrudan gösteriyor. ADNI onayı geldiğinde asıl koşular orada yapılacak; bu küme dış test setine dönüşecek.</w:t>
      </w:r>
    </w:p>
    <w:p>
      <w:pPr>
        <w:pStyle w:val="Heading2"/>
        <w:spacing w:before="280" w:after="140"/>
      </w:pPr>
      <w:r>
        <w:t>9.2 Dengeli doğruluğun eşiği kattan teste taşınmıyor</w:t>
      </w:r>
    </w:p>
    <w:p>
      <w:pPr>
        <w:spacing w:before="80" w:after="140"/>
        <w:jc w:val="both"/>
      </w:pPr>
      <w:r>
        <w:t xml:space="preserve">Bunu ölçtük ve raporlamamızı buna göre kurduk. VoxCNN'de doğrulama katında seçilen karar eşiği (0,4821) test sonucunu hiç değiştirmiyor; oysa test kümesinde 0,736 dengeli doğruluk veren bir eşik </w:t>
      </w:r>
      <w:r>
        <w:rPr>
          <w:b/>
        </w:rPr>
        <w:t>var</w:t>
      </w:r>
      <w:r>
        <w:t>. Daha iyi eşik aramak bunu çözmüyor — 236 eğitim / 53 test deneğiyle olasılık dağılımları kat başına kayıyor.</w:t>
      </w:r>
    </w:p>
    <w:p>
      <w:pPr>
        <w:spacing w:before="80" w:after="140"/>
        <w:jc w:val="both"/>
      </w:pPr>
      <w:r>
        <w:t xml:space="preserve">Bu yüzden </w:t>
      </w:r>
      <w:r>
        <w:rPr>
          <w:b/>
        </w:rPr>
        <w:t>birincil metriğimiz AUC</w:t>
      </w:r>
      <w:r>
        <w:t>: eşikten bağımsız olduğu için bu sorundan etkilenmiyor. Dengeli doğruluğu protokolün sabit kuralıyla raporluyoruz ve kısıtı yazıyoruz. Beş kat bittiğinde kat-ortalaması eşiğe geçeceğiz.</w:t>
      </w:r>
    </w:p>
    <w:p>
      <w:pPr>
        <w:pStyle w:val="Heading2"/>
        <w:spacing w:before="280" w:after="140"/>
      </w:pPr>
      <w:r>
        <w:t>9.3 Afin normalizasyon beyin hacmini kısmen siliyor</w:t>
      </w:r>
    </w:p>
    <w:p>
      <w:pPr>
        <w:spacing w:before="80" w:after="140"/>
        <w:jc w:val="both"/>
      </w:pPr>
      <w:r>
        <w:t xml:space="preserve">Verinin 12 serbestlik dereceli afin dönüşümle MNI'ye normalize edildiğinin sonucunu ölçtük: sınır kutusu her denekte </w:t>
      </w:r>
      <w:r>
        <w:rPr>
          <w:b/>
        </w:rPr>
        <w:t>150×187×159 mm (±2)</w:t>
      </w:r>
      <w:r>
        <w:t xml:space="preserve"> ve maske hacmi deneğin gerçek kafa içi hacmiyle </w:t>
      </w:r>
      <w:r>
        <w:rPr>
          <w:b/>
        </w:rPr>
        <w:t>ilişkisiz (r = −0,18)</w:t>
      </w:r>
      <w:r>
        <w:t xml:space="preserve">. Yani global kafa/beyin boyutu bir öznitelik olarak </w:t>
      </w:r>
      <w:r>
        <w:rPr>
          <w:b/>
        </w:rPr>
        <w:t>kaldırılmış</w:t>
      </w:r>
      <w:r>
        <w:t>; model bölgesel şekle ve yoğunluk örüntülerine dayanmak zorunda.</w:t>
      </w:r>
    </w:p>
    <w:p>
      <w:pPr>
        <w:spacing w:before="80" w:after="140"/>
        <w:jc w:val="both"/>
      </w:pPr>
      <w:r>
        <w:t xml:space="preserve">Bu, Wen vd. (2020) </w:t>
      </w:r>
      <w:r>
        <w:rPr>
          <w:rFonts w:ascii="Consolas" w:hAnsi="Consolas"/>
          <w:sz w:val="20"/>
        </w:rPr>
        <w:t>t1-linear</w:t>
      </w:r>
      <w:r>
        <w:t xml:space="preserve"> hattının bilinen bir özelliği, ama </w:t>
      </w:r>
      <w:r>
        <w:rPr>
          <w:b/>
        </w:rPr>
        <w:t>kısıt olarak yazmamız gerekiyor</w:t>
      </w:r>
      <w:r>
        <w:t>: toplam beyin hacmi kaybı Alzheimer'ın en güçlü işaretlerinden biri ve kısmen normalize edilmiş durumda.</w:t>
      </w:r>
    </w:p>
    <w:p>
      <w:pPr>
        <w:pStyle w:val="Heading2"/>
        <w:spacing w:before="280" w:after="140"/>
      </w:pPr>
      <w:r>
        <w:t>9.4 Cinsiyet dengesizliği</w:t>
      </w:r>
    </w:p>
    <w:p>
      <w:pPr>
        <w:spacing w:before="80" w:after="140"/>
        <w:jc w:val="both"/>
      </w:pPr>
      <w:r>
        <w:t>Eşleştirme yerine ölçmeyi seçtik (§6.1) ve ölçüm karıştırıcının test kümesinde işe yaramadığını gösterdi. Yine de dengesizlik veri kümesinin bir özelliği olarak duruyor ve raporda ortak değişken olarak belirtiliyor.</w:t>
      </w:r>
    </w:p>
    <w:p>
      <w:pPr>
        <w:pStyle w:val="Heading2"/>
        <w:spacing w:before="280" w:after="140"/>
      </w:pPr>
      <w:r>
        <w:t>9.5 Koşu sayısı</w:t>
      </w:r>
    </w:p>
    <w:p>
      <w:pPr>
        <w:spacing w:before="80" w:after="140"/>
        <w:jc w:val="both"/>
      </w:pPr>
      <w:r>
        <w:t xml:space="preserve">PROTOKOL 5 kat × 3 tohum istiyor; ölçülen sürelerle bu 9 model için ~40–45 GPU-saat. Şu an 5 kat × 1 tohum koşuyoruz (~12–15 saat) ve tohum tekrarını öne çıkan modellere ayırmayı planlıyoruz. </w:t>
      </w:r>
      <w:r>
        <w:rPr>
          <w:b/>
        </w:rPr>
        <w:t>Bu bir sapmadır ve raporun son halinde böyle yazılacaktır.</w:t>
      </w:r>
    </w:p>
    <w:p>
      <w:pPr>
        <w:pStyle w:val="Heading2"/>
        <w:spacing w:before="280" w:after="140"/>
      </w:pPr>
      <w:r>
        <w:t>9.6 Tek merkez</w:t>
      </w:r>
    </w:p>
    <w:p>
      <w:pPr>
        <w:spacing w:before="80" w:after="140"/>
        <w:jc w:val="both"/>
      </w:pPr>
      <w:r>
        <w:t xml:space="preserve">Bütün veri tek tarayıcıdan (Siemens Vision 1,5T). Bu karıştırıcıyı ortadan kaldırıyor ama genellemeyi sınamıyor. Çoklu-merkez genelleme için </w:t>
      </w:r>
      <w:r>
        <w:rPr>
          <w:rFonts w:ascii="Consolas" w:hAnsi="Consolas"/>
          <w:sz w:val="20"/>
        </w:rPr>
        <w:t>radiata-ai</w:t>
      </w:r>
      <w:r>
        <w:t xml:space="preserve"> koleksiyonunun diğer üç kohortu (DLBS, IXI, NKI-RS — 3.007 tarama, 2.043 sağlıklı denek) hazır duruyor.</w:t>
      </w:r>
    </w:p>
    <w:p>
      <w:pPr>
        <w:spacing w:before="120" w:after="160"/>
        <w:pBdr>
          <w:bottom w:val="single" w:sz="6" w:space="1" w:color="AAB6C0"/>
        </w:pBdr>
      </w:pPr>
    </w:p>
    <w:p>
      <w:pPr>
        <w:pStyle w:val="Heading1"/>
        <w:spacing w:before="360" w:after="180"/>
      </w:pPr>
      <w:r>
        <w:t>10. KALAN İŞ VE TAKVİM</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Sıra</w:t>
            </w:r>
          </w:p>
        </w:tc>
        <w:tc>
          <w:tcPr>
            <w:tcW w:type="dxa" w:w="2900"/>
            <w:shd w:val="clear" w:color="auto" w:fill="E8EDF2"/>
          </w:tcPr>
          <w:p>
            <w:pPr>
              <w:spacing w:after="0" w:before="0" w:line="240" w:lineRule="auto"/>
              <w:jc w:val="center"/>
            </w:pPr>
            <w:r>
              <w:rPr>
                <w:b/>
                <w:sz w:val="19"/>
              </w:rPr>
              <w:t>İş</w:t>
            </w:r>
          </w:p>
        </w:tc>
        <w:tc>
          <w:tcPr>
            <w:tcW w:type="dxa" w:w="2900"/>
            <w:shd w:val="clear" w:color="auto" w:fill="E8EDF2"/>
          </w:tcPr>
          <w:p>
            <w:pPr>
              <w:spacing w:after="0" w:before="0" w:line="240" w:lineRule="auto"/>
              <w:jc w:val="center"/>
            </w:pPr>
            <w:r>
              <w:rPr>
                <w:b/>
                <w:sz w:val="19"/>
              </w:rPr>
              <w:t>Durum</w:t>
            </w:r>
          </w:p>
        </w:tc>
      </w:tr>
      <w:tr>
        <w:tc>
          <w:tcPr>
            <w:tcW w:type="dxa" w:w="2988"/>
          </w:tcPr>
          <w:p>
            <w:pPr>
              <w:spacing w:after="0" w:before="0" w:line="240" w:lineRule="auto"/>
              <w:jc w:val="left"/>
            </w:pPr>
            <w:r>
              <w:rPr>
                <w:sz w:val="19"/>
              </w:rPr>
              <w:t>1</w:t>
            </w:r>
          </w:p>
        </w:tc>
        <w:tc>
          <w:tcPr>
            <w:tcW w:type="dxa" w:w="2900"/>
          </w:tcPr>
          <w:p>
            <w:pPr>
              <w:spacing w:after="0" w:before="0" w:line="240" w:lineRule="auto"/>
              <w:jc w:val="center"/>
            </w:pPr>
            <w:r>
              <w:rPr>
                <w:sz w:val="19"/>
              </w:rPr>
              <w:t>Kat 0'ın kalan üç modeli (VoxResNet, P11, P07)</w:t>
            </w:r>
          </w:p>
        </w:tc>
        <w:tc>
          <w:tcPr>
            <w:tcW w:type="dxa" w:w="2900"/>
          </w:tcPr>
          <w:p>
            <w:pPr>
              <w:spacing w:after="0" w:before="0" w:line="240" w:lineRule="auto"/>
              <w:jc w:val="center"/>
            </w:pPr>
            <w:r>
              <w:rPr>
                <w:sz w:val="19"/>
              </w:rPr>
              <w:t>🔄 koşuyor</w:t>
            </w:r>
          </w:p>
        </w:tc>
      </w:tr>
      <w:tr>
        <w:tc>
          <w:tcPr>
            <w:tcW w:type="dxa" w:w="2988"/>
          </w:tcPr>
          <w:p>
            <w:pPr>
              <w:spacing w:after="0" w:before="0" w:line="240" w:lineRule="auto"/>
              <w:jc w:val="left"/>
            </w:pPr>
            <w:r>
              <w:rPr>
                <w:sz w:val="19"/>
              </w:rPr>
              <w:t>2</w:t>
            </w:r>
          </w:p>
        </w:tc>
        <w:tc>
          <w:tcPr>
            <w:tcW w:type="dxa" w:w="2900"/>
          </w:tcPr>
          <w:p>
            <w:pPr>
              <w:spacing w:after="0" w:before="0" w:line="240" w:lineRule="auto"/>
              <w:jc w:val="center"/>
            </w:pPr>
            <w:r>
              <w:rPr>
                <w:sz w:val="19"/>
              </w:rPr>
              <w:t>P06 öğrenme oranı taraması</w:t>
            </w:r>
          </w:p>
        </w:tc>
        <w:tc>
          <w:tcPr>
            <w:tcW w:type="dxa" w:w="2900"/>
          </w:tcPr>
          <w:p>
            <w:pPr>
              <w:spacing w:after="0" w:before="0" w:line="240" w:lineRule="auto"/>
              <w:jc w:val="center"/>
            </w:pPr>
            <w:r>
              <w:rPr>
                <w:sz w:val="19"/>
              </w:rPr>
              <w:t>🔄 kuyrukta</w:t>
            </w:r>
          </w:p>
        </w:tc>
      </w:tr>
      <w:tr>
        <w:tc>
          <w:tcPr>
            <w:tcW w:type="dxa" w:w="2988"/>
          </w:tcPr>
          <w:p>
            <w:pPr>
              <w:spacing w:after="0" w:before="0" w:line="240" w:lineRule="auto"/>
              <w:jc w:val="left"/>
            </w:pPr>
            <w:r>
              <w:rPr>
                <w:sz w:val="19"/>
              </w:rPr>
              <w:t>3</w:t>
            </w:r>
          </w:p>
        </w:tc>
        <w:tc>
          <w:tcPr>
            <w:tcW w:type="dxa" w:w="2900"/>
          </w:tcPr>
          <w:p>
            <w:pPr>
              <w:spacing w:after="0" w:before="0" w:line="240" w:lineRule="auto"/>
              <w:jc w:val="center"/>
            </w:pPr>
            <w:r>
              <w:rPr>
                <w:sz w:val="19"/>
              </w:rPr>
              <w:t>Kat 1–4 (9 model × 4 kat)</w:t>
            </w:r>
          </w:p>
        </w:tc>
        <w:tc>
          <w:tcPr>
            <w:tcW w:type="dxa" w:w="2900"/>
          </w:tcPr>
          <w:p>
            <w:pPr>
              <w:spacing w:after="0" w:before="0" w:line="240" w:lineRule="auto"/>
              <w:jc w:val="center"/>
            </w:pPr>
            <w:r>
              <w:rPr>
                <w:sz w:val="19"/>
              </w:rPr>
              <w:t>🔄 kuyrukta, ~12–15 saat</w:t>
            </w:r>
          </w:p>
        </w:tc>
      </w:tr>
      <w:tr>
        <w:tc>
          <w:tcPr>
            <w:tcW w:type="dxa" w:w="2988"/>
          </w:tcPr>
          <w:p>
            <w:pPr>
              <w:spacing w:after="0" w:before="0" w:line="240" w:lineRule="auto"/>
              <w:jc w:val="left"/>
            </w:pPr>
            <w:r>
              <w:rPr>
                <w:sz w:val="19"/>
              </w:rPr>
              <w:t>4</w:t>
            </w:r>
          </w:p>
        </w:tc>
        <w:tc>
          <w:tcPr>
            <w:tcW w:type="dxa" w:w="2900"/>
          </w:tcPr>
          <w:p>
            <w:pPr>
              <w:spacing w:after="0" w:before="0" w:line="240" w:lineRule="auto"/>
              <w:jc w:val="center"/>
            </w:pPr>
            <w:r>
              <w:rPr>
                <w:sz w:val="19"/>
              </w:rPr>
              <w:t>Beş kat ortalamasıyla sonuç tablosu + alt grup ve uyum analizlerinin tekrarı</w:t>
            </w:r>
          </w:p>
        </w:tc>
        <w:tc>
          <w:tcPr>
            <w:tcW w:type="dxa" w:w="2900"/>
          </w:tcPr>
          <w:p>
            <w:pPr>
              <w:spacing w:after="0" w:before="0" w:line="240" w:lineRule="auto"/>
              <w:jc w:val="center"/>
            </w:pPr>
            <w:r>
              <w:rPr>
                <w:sz w:val="19"/>
              </w:rPr>
              <w:t>☐</w:t>
            </w:r>
          </w:p>
        </w:tc>
      </w:tr>
      <w:tr>
        <w:tc>
          <w:tcPr>
            <w:tcW w:type="dxa" w:w="2988"/>
          </w:tcPr>
          <w:p>
            <w:pPr>
              <w:spacing w:after="0" w:before="0" w:line="240" w:lineRule="auto"/>
              <w:jc w:val="left"/>
            </w:pPr>
            <w:r>
              <w:rPr>
                <w:sz w:val="19"/>
              </w:rPr>
              <w:t>5</w:t>
            </w:r>
          </w:p>
        </w:tc>
        <w:tc>
          <w:tcPr>
            <w:tcW w:type="dxa" w:w="2900"/>
          </w:tcPr>
          <w:p>
            <w:pPr>
              <w:spacing w:after="0" w:before="0" w:line="240" w:lineRule="auto"/>
              <w:jc w:val="center"/>
            </w:pPr>
            <w:r>
              <w:rPr>
                <w:sz w:val="19"/>
              </w:rPr>
              <w:t>Voksel SVM temel çizgisi</w:t>
            </w:r>
          </w:p>
        </w:tc>
        <w:tc>
          <w:tcPr>
            <w:tcW w:type="dxa" w:w="2900"/>
          </w:tcPr>
          <w:p>
            <w:pPr>
              <w:spacing w:after="0" w:before="0" w:line="240" w:lineRule="auto"/>
              <w:jc w:val="center"/>
            </w:pPr>
            <w:r>
              <w:rPr>
                <w:sz w:val="19"/>
              </w:rPr>
              <w:t>☐</w:t>
            </w:r>
          </w:p>
        </w:tc>
      </w:tr>
      <w:tr>
        <w:tc>
          <w:tcPr>
            <w:tcW w:type="dxa" w:w="2988"/>
          </w:tcPr>
          <w:p>
            <w:pPr>
              <w:spacing w:after="0" w:before="0" w:line="240" w:lineRule="auto"/>
              <w:jc w:val="left"/>
            </w:pPr>
            <w:r>
              <w:rPr>
                <w:sz w:val="19"/>
              </w:rPr>
              <w:t>6</w:t>
            </w:r>
          </w:p>
        </w:tc>
        <w:tc>
          <w:tcPr>
            <w:tcW w:type="dxa" w:w="2900"/>
          </w:tcPr>
          <w:p>
            <w:pPr>
              <w:spacing w:after="0" w:before="0" w:line="240" w:lineRule="auto"/>
              <w:jc w:val="center"/>
            </w:pPr>
            <w:r>
              <w:rPr>
                <w:sz w:val="19"/>
              </w:rPr>
              <w:t>Üç sınıf (NC / MCI / AD) ikincil görevi</w:t>
            </w:r>
          </w:p>
        </w:tc>
        <w:tc>
          <w:tcPr>
            <w:tcW w:type="dxa" w:w="2900"/>
          </w:tcPr>
          <w:p>
            <w:pPr>
              <w:spacing w:after="0" w:before="0" w:line="240" w:lineRule="auto"/>
              <w:jc w:val="center"/>
            </w:pPr>
            <w:r>
              <w:rPr>
                <w:sz w:val="19"/>
              </w:rPr>
              <w:t>☐ ADNI'ye bağlı</w:t>
            </w:r>
          </w:p>
        </w:tc>
      </w:tr>
      <w:tr>
        <w:tc>
          <w:tcPr>
            <w:tcW w:type="dxa" w:w="2988"/>
          </w:tcPr>
          <w:p>
            <w:pPr>
              <w:spacing w:after="0" w:before="0" w:line="240" w:lineRule="auto"/>
              <w:jc w:val="left"/>
            </w:pPr>
            <w:r>
              <w:rPr>
                <w:sz w:val="19"/>
              </w:rPr>
              <w:t>7</w:t>
            </w:r>
          </w:p>
        </w:tc>
        <w:tc>
          <w:tcPr>
            <w:tcW w:type="dxa" w:w="2900"/>
          </w:tcPr>
          <w:p>
            <w:pPr>
              <w:spacing w:after="0" w:before="0" w:line="240" w:lineRule="auto"/>
              <w:jc w:val="center"/>
            </w:pPr>
            <w:r>
              <w:rPr>
                <w:sz w:val="19"/>
              </w:rPr>
              <w:t>ADNI onayı → ham veriyi kendi hattımızdan geçirme → asıl koşular</w:t>
            </w:r>
          </w:p>
        </w:tc>
        <w:tc>
          <w:tcPr>
            <w:tcW w:type="dxa" w:w="2900"/>
          </w:tcPr>
          <w:p>
            <w:pPr>
              <w:spacing w:after="0" w:before="0" w:line="240" w:lineRule="auto"/>
              <w:jc w:val="center"/>
            </w:pPr>
            <w:r>
              <w:rPr>
                <w:sz w:val="19"/>
              </w:rPr>
              <w:t>☐ onay bekliyor</w:t>
            </w:r>
          </w:p>
        </w:tc>
      </w:tr>
      <w:tr>
        <w:tc>
          <w:tcPr>
            <w:tcW w:type="dxa" w:w="2988"/>
          </w:tcPr>
          <w:p>
            <w:pPr>
              <w:spacing w:after="0" w:before="0" w:line="240" w:lineRule="auto"/>
              <w:jc w:val="left"/>
            </w:pPr>
            <w:r>
              <w:rPr>
                <w:sz w:val="19"/>
              </w:rPr>
              <w:t>8</w:t>
            </w:r>
          </w:p>
        </w:tc>
        <w:tc>
          <w:tcPr>
            <w:tcW w:type="dxa" w:w="2900"/>
          </w:tcPr>
          <w:p>
            <w:pPr>
              <w:spacing w:after="0" w:before="0" w:line="240" w:lineRule="auto"/>
              <w:jc w:val="center"/>
            </w:pPr>
            <w:r>
              <w:rPr>
                <w:sz w:val="19"/>
              </w:rPr>
              <w:t>Dış test: ADNI'de eğitilen model → OASIS sıfır-atış</w:t>
            </w:r>
          </w:p>
        </w:tc>
        <w:tc>
          <w:tcPr>
            <w:tcW w:type="dxa" w:w="2900"/>
          </w:tcPr>
          <w:p>
            <w:pPr>
              <w:spacing w:after="0" w:before="0" w:line="240" w:lineRule="auto"/>
              <w:jc w:val="center"/>
            </w:pPr>
            <w:r>
              <w:rPr>
                <w:sz w:val="19"/>
              </w:rPr>
              <w:t>☐</w:t>
            </w:r>
          </w:p>
        </w:tc>
      </w:tr>
      <w:tr>
        <w:tc>
          <w:tcPr>
            <w:tcW w:type="dxa" w:w="2988"/>
          </w:tcPr>
          <w:p>
            <w:pPr>
              <w:spacing w:after="0" w:before="0" w:line="240" w:lineRule="auto"/>
              <w:jc w:val="left"/>
            </w:pPr>
            <w:r>
              <w:rPr>
                <w:sz w:val="19"/>
              </w:rPr>
              <w:t>9</w:t>
            </w:r>
          </w:p>
        </w:tc>
        <w:tc>
          <w:tcPr>
            <w:tcW w:type="dxa" w:w="2900"/>
          </w:tcPr>
          <w:p>
            <w:pPr>
              <w:spacing w:after="0" w:before="0" w:line="240" w:lineRule="auto"/>
              <w:jc w:val="center"/>
            </w:pPr>
            <w:r>
              <w:rPr>
                <w:sz w:val="19"/>
              </w:rPr>
              <w:t>Arayüz gerçekleştirmesi (mock-up'lar tasarlandı)</w:t>
            </w:r>
          </w:p>
        </w:tc>
        <w:tc>
          <w:tcPr>
            <w:tcW w:type="dxa" w:w="2900"/>
          </w:tcPr>
          <w:p>
            <w:pPr>
              <w:spacing w:after="0" w:before="0" w:line="240" w:lineRule="auto"/>
              <w:jc w:val="center"/>
            </w:pPr>
            <w:r>
              <w:rPr>
                <w:sz w:val="19"/>
              </w:rPr>
              <w:t>☐</w:t>
            </w:r>
          </w:p>
        </w:tc>
      </w:tr>
      <w:tr>
        <w:tc>
          <w:tcPr>
            <w:tcW w:type="dxa" w:w="2988"/>
          </w:tcPr>
          <w:p>
            <w:pPr>
              <w:spacing w:after="0" w:before="0" w:line="240" w:lineRule="auto"/>
              <w:jc w:val="left"/>
            </w:pPr>
            <w:r>
              <w:rPr>
                <w:sz w:val="19"/>
              </w:rPr>
              <w:t>10</w:t>
            </w:r>
          </w:p>
        </w:tc>
        <w:tc>
          <w:tcPr>
            <w:tcW w:type="dxa" w:w="2900"/>
          </w:tcPr>
          <w:p>
            <w:pPr>
              <w:spacing w:after="0" w:before="0" w:line="240" w:lineRule="auto"/>
              <w:jc w:val="center"/>
            </w:pPr>
            <w:r>
              <w:rPr>
                <w:sz w:val="19"/>
              </w:rPr>
              <w:t>Final rapor ve sunum</w:t>
            </w:r>
          </w:p>
        </w:tc>
        <w:tc>
          <w:tcPr>
            <w:tcW w:type="dxa" w:w="2900"/>
          </w:tcPr>
          <w:p>
            <w:pPr>
              <w:spacing w:after="0" w:before="0" w:line="240" w:lineRule="auto"/>
              <w:jc w:val="center"/>
            </w:pPr>
            <w:r>
              <w:rPr>
                <w:sz w:val="19"/>
              </w:rPr>
              <w:t>☐</w:t>
            </w:r>
          </w:p>
        </w:tc>
      </w:tr>
    </w:tbl>
    <w:p>
      <w:pPr>
        <w:spacing w:after="160"/>
      </w:pPr>
    </w:p>
    <w:p>
      <w:pPr>
        <w:spacing w:before="80" w:after="140"/>
        <w:jc w:val="both"/>
      </w:pPr>
      <w:r>
        <w:rPr>
          <w:b/>
        </w:rPr>
        <w:t>Danışmana sormak istediklerimiz:</w:t>
      </w:r>
    </w:p>
    <w:p>
      <w:pPr>
        <w:pStyle w:val="ListNumber"/>
        <w:spacing w:before="40" w:after="40"/>
      </w:pPr>
      <w:r>
        <w:t>Tohum tekrarı konusunda (§9.5) 5 kat × 1 tohum kabul edilebilir mi, yoksa tam protokol şart mı?</w:t>
      </w:r>
    </w:p>
    <w:p>
      <w:pPr>
        <w:pStyle w:val="ListNumber"/>
        <w:spacing w:before="40" w:after="40"/>
      </w:pPr>
      <w:r>
        <w:t>ADNI onayı gecikirse OASIS sonuçlarıyla savunmaya girmek uygun olur mu?</w:t>
      </w:r>
    </w:p>
    <w:p>
      <w:pPr>
        <w:pStyle w:val="ListNumber"/>
        <w:spacing w:before="40" w:after="40"/>
      </w:pPr>
      <w:r>
        <w:t>Ön işleme kaynağı: OASIS'i Radiata'nın hazır sürümünden mi alalım, onay gelince ham veriyi kendi hattımızdan mı geçirelim? (Hedef şablon ikisinde de aynı.)</w:t>
      </w:r>
    </w:p>
    <w:p>
      <w:pPr>
        <w:spacing w:before="120" w:after="160"/>
        <w:pBdr>
          <w:bottom w:val="single" w:sz="6" w:space="1" w:color="AAB6C0"/>
        </w:pBdr>
      </w:pPr>
    </w:p>
    <w:p>
      <w:pPr>
        <w:pStyle w:val="Heading1"/>
        <w:spacing w:before="360" w:after="180"/>
      </w:pPr>
      <w:r>
        <w:t>KAYNAKLAR</w:t>
      </w:r>
    </w:p>
    <w:p>
      <w:pPr>
        <w:spacing w:before="80" w:after="140"/>
        <w:jc w:val="both"/>
      </w:pPr>
      <w:r>
        <w:t xml:space="preserve">[1] A. Korolev, A. Safiullin, M. Belyaev, Y. Dodonova, "Residual and plain convolutional neural networks for 3D brain MRI classification," </w:t>
      </w:r>
      <w:r>
        <w:rPr>
          <w:i/>
        </w:rPr>
        <w:t>IEEE ISBI</w:t>
      </w:r>
      <w:r>
        <w:t>, 2017.</w:t>
      </w:r>
    </w:p>
    <w:p>
      <w:pPr>
        <w:spacing w:before="80" w:after="140"/>
        <w:jc w:val="both"/>
      </w:pPr>
      <w:r>
        <w:t xml:space="preserve">[2] S. Chen, K. Ma, Y. Zheng, "Med3D: Transfer learning for 3D medical image analysis," </w:t>
      </w:r>
      <w:r>
        <w:rPr>
          <w:i/>
        </w:rPr>
        <w:t>arXiv:1904.00625</w:t>
      </w:r>
      <w:r>
        <w:t>, 2019.</w:t>
      </w:r>
    </w:p>
    <w:p>
      <w:pPr>
        <w:spacing w:before="80" w:after="140"/>
        <w:jc w:val="both"/>
      </w:pPr>
      <w:r>
        <w:t xml:space="preserve">[3] J. Wen vd., "Convolutional neural networks for classification of Alzheimer's disease: Overview and reproducible evaluation," </w:t>
      </w:r>
      <w:r>
        <w:rPr>
          <w:i/>
        </w:rPr>
        <w:t>Medical Image Analysis</w:t>
      </w:r>
      <w:r>
        <w:t>, c. 63, 2020.</w:t>
      </w:r>
    </w:p>
    <w:p>
      <w:pPr>
        <w:spacing w:before="80" w:after="140"/>
        <w:jc w:val="both"/>
      </w:pPr>
      <w:r>
        <w:t xml:space="preserve">[4] M. Böhle, F. Eitel, M. Weygandt, K. Ritter, "Layer-wise relevance propagation for explaining deep neural network decisions in MRI-based Alzheimer's disease classification," </w:t>
      </w:r>
      <w:r>
        <w:rPr>
          <w:i/>
        </w:rPr>
        <w:t>Frontiers in Aging Neuroscience</w:t>
      </w:r>
      <w:r>
        <w:t>, c. 11, s. 194, 2019.</w:t>
      </w:r>
    </w:p>
    <w:p>
      <w:pPr>
        <w:spacing w:before="80" w:after="140"/>
        <w:jc w:val="both"/>
      </w:pPr>
      <w:r>
        <w:t xml:space="preserve">[5] X. Zhang vd., "An explainable 3D residual self-attention deep neural network for joint atrophy localization and Alzheimer's disease diagnosis using structural MRI," </w:t>
      </w:r>
      <w:r>
        <w:rPr>
          <w:i/>
        </w:rPr>
        <w:t>IEEE Journal of Biomedical and Health Informatics</w:t>
      </w:r>
      <w:r>
        <w:t>, 2021. (3D ResAttNet, arXiv:2008.04024)</w:t>
      </w:r>
    </w:p>
    <w:p>
      <w:pPr>
        <w:spacing w:before="80" w:after="140"/>
        <w:jc w:val="both"/>
      </w:pPr>
      <w:r>
        <w:t xml:space="preserve">[6] S. Qiu vd., "Development and validation of an interpretable deep learning framework for Alzheimer's disease classification," </w:t>
      </w:r>
      <w:r>
        <w:rPr>
          <w:i/>
        </w:rPr>
        <w:t>Brain</w:t>
      </w:r>
      <w:r>
        <w:t>, c. 143, sy. 6, 2020.</w:t>
      </w:r>
    </w:p>
    <w:p>
      <w:pPr>
        <w:spacing w:before="80" w:after="140"/>
        <w:jc w:val="both"/>
      </w:pPr>
      <w:r>
        <w:t xml:space="preserve">[7] B. Solano-Rojas, R. Villalón-Fonseca, "A low-cost three-dimensional DenseNet neural network for Alzheimer's disease early discovery," </w:t>
      </w:r>
      <w:r>
        <w:rPr>
          <w:i/>
        </w:rPr>
        <w:t>Sensors</w:t>
      </w:r>
      <w:r>
        <w:t>, c. 21, 2021.</w:t>
      </w:r>
    </w:p>
    <w:p>
      <w:pPr>
        <w:spacing w:before="80" w:after="140"/>
        <w:jc w:val="both"/>
      </w:pPr>
      <w:r>
        <w:t xml:space="preserve">[8] S. Yagis vd., "Effect of data leakage in brain MRI classification using 2D convolutional neural networks," </w:t>
      </w:r>
      <w:r>
        <w:rPr>
          <w:i/>
        </w:rPr>
        <w:t>Scientific Reports</w:t>
      </w:r>
      <w:r>
        <w:t>, c. 11, 2021.</w:t>
      </w:r>
    </w:p>
    <w:p>
      <w:pPr>
        <w:spacing w:before="80" w:after="140"/>
        <w:jc w:val="both"/>
      </w:pPr>
      <w:r>
        <w:t xml:space="preserve">[9] D. S. Marcus vd., "Open Access Series of Imaging Studies (OASIS): Cross-sectional MRI data in young, middle aged, nondemented, and demented older adults," </w:t>
      </w:r>
      <w:r>
        <w:rPr>
          <w:i/>
        </w:rPr>
        <w:t>Journal of Cognitive Neuroscience</w:t>
      </w:r>
      <w:r>
        <w:t>, c. 19, sy. 9, 2007.</w:t>
      </w:r>
    </w:p>
    <w:p>
      <w:pPr>
        <w:spacing w:before="80" w:after="140"/>
        <w:jc w:val="both"/>
      </w:pPr>
      <w:r>
        <w:t xml:space="preserve">[10] D. S. Marcus, A. F. Fotenos, J. G. Csernansky, J. C. Morris, R. L. Buckner, "Open Access Series of Imaging Studies: Longitudinal MRI data in nondemented and demented older adults," </w:t>
      </w:r>
      <w:r>
        <w:rPr>
          <w:i/>
        </w:rPr>
        <w:t>Journal of Cognitive Neuroscience</w:t>
      </w:r>
      <w:r>
        <w:t>, c. 22, sy. 12, 2010.</w:t>
      </w:r>
    </w:p>
    <w:p>
      <w:pPr>
        <w:spacing w:before="80" w:after="140"/>
        <w:jc w:val="both"/>
      </w:pPr>
      <w:r>
        <w:t>[11] Radiata AI, "brain-structure: A multi-study collection of preprocessed structural brain MRI," HuggingFace Datasets, 2025. [Çevrimiçi]. https://huggingface.co/datasets/radiata-ai/brain-structure</w:t>
      </w:r>
    </w:p>
    <w:p>
      <w:pPr>
        <w:spacing w:before="80" w:after="140"/>
        <w:jc w:val="both"/>
      </w:pPr>
      <w:r>
        <w:t xml:space="preserve">[12] C. Gaser vd., "CAT: A computational anatomy toolbox for the analysis of structural MRI data," </w:t>
      </w:r>
      <w:r>
        <w:rPr>
          <w:i/>
        </w:rPr>
        <w:t>Imaging Neuroscience</w:t>
      </w:r>
      <w:r>
        <w:t>, 2024.</w:t>
      </w:r>
    </w:p>
    <w:p>
      <w:pPr>
        <w:spacing w:before="80" w:after="140"/>
        <w:jc w:val="both"/>
      </w:pPr>
      <w:r>
        <w:t xml:space="preserve">[13] F. Isensee vd., "Automated brain extraction of multisequence MRI using artificial neural networks," </w:t>
      </w:r>
      <w:r>
        <w:rPr>
          <w:i/>
        </w:rPr>
        <w:t>Human Brain Mapping</w:t>
      </w:r>
      <w:r>
        <w:t>, c. 40, sy. 17, 2019. (HD-BET)</w:t>
      </w:r>
    </w:p>
    <w:p>
      <w:pPr>
        <w:spacing w:before="80" w:after="140"/>
        <w:jc w:val="both"/>
      </w:pPr>
      <w:r>
        <w:t xml:space="preserve">[14] N. J. Tustison vd., "N4ITK: Improved N3 bias correction," </w:t>
      </w:r>
      <w:r>
        <w:rPr>
          <w:i/>
        </w:rPr>
        <w:t>IEEE Transactions on Medical Imaging</w:t>
      </w:r>
      <w:r>
        <w:t>, c. 29, sy. 6, 2010.</w:t>
      </w:r>
    </w:p>
    <w:p>
      <w:pPr>
        <w:spacing w:before="80" w:after="140"/>
        <w:jc w:val="both"/>
      </w:pPr>
      <w:r>
        <w:t xml:space="preserve">[15] M. J. Cardoso vd., "MONAI: An open-source framework for deep learning in healthcare," </w:t>
      </w:r>
      <w:r>
        <w:rPr>
          <w:i/>
        </w:rPr>
        <w:t>arXiv:2211.02701</w:t>
      </w:r>
      <w:r>
        <w:t>, 2022.</w:t>
      </w:r>
    </w:p>
    <w:p>
      <w:pPr>
        <w:spacing w:before="140" w:after="160"/>
        <w:ind w:left="454"/>
        <w:pBdr>
          <w:left w:val="single" w:sz="12" w:space="8" w:color="7A8B99"/>
        </w:pBdr>
      </w:pPr>
      <w:r>
        <w:rPr>
          <w:i/>
        </w:rPr>
        <w:t xml:space="preserve">Tam liste ve her makalenin ayrıntılı inceleme notu: </w:t>
      </w:r>
      <w:r>
        <w:rPr>
          <w:rFonts w:ascii="Consolas" w:hAnsi="Consolas"/>
          <w:i/>
          <w:sz w:val="20"/>
        </w:rPr>
        <w:t>makaleler/MAKALE-LISTESI.md</w:t>
      </w:r>
      <w:r>
        <w:rPr>
          <w:i/>
        </w:rPr>
        <w:t xml:space="preserve"> ve </w:t>
      </w:r>
      <w:r>
        <w:rPr>
          <w:rFonts w:ascii="Consolas" w:hAnsi="Consolas"/>
          <w:i/>
          <w:sz w:val="20"/>
        </w:rPr>
        <w:t>makaleler/&lt;kişi&gt;/P*.md</w:t>
      </w:r>
      <w:r>
        <w:rPr>
          <w:i/>
        </w:rPr>
        <w:t>. On beş makalenin tamamı §13 doğrulama bölümüyle incelenmiştir; dördünde sayısal çelişki saptanıp belgelenmiştir.</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Güncellemek için: alanı seçip F9</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Ara Rapor — Uygulama</dc:title>
  <dc:subject>BSM 401 Tasarım Projesi</dc:subject>
  <dc:creator>Baran Yeşilyurt, Ahmet Görkem Yavuz, Ertuğrul Kabaoğlu</dc:creator>
  <cp:keywords/>
  <dc:description>Alzheimer Hastalığının Erken Teşhisi İçin 3B Derin Öğrenme Tabanlı Karar Destek Sistemi — uygulama raporu</dc:description>
  <cp:lastModifiedBy/>
  <cp:revision>1</cp:revision>
  <dcterms:created xsi:type="dcterms:W3CDTF">2013-12-23T23:15:00Z</dcterms:created>
  <dcterms:modified xsi:type="dcterms:W3CDTF">2013-12-23T23:15:00Z</dcterms:modified>
  <cp:category/>
</cp:coreProperties>
</file>