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algorithm in PROGRAM GRGEN is a top-down, structured grid generator designed to create non-orthogonal, body-fitted computational meshes for a single block. It natively supports complex topologies, including C-type and O-type grids.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Instead of generating a single mesh, the algorithm is built around a multigrid philosophy: it generates a coarse base grid and then systematically interpolates it to create a hierarchy of progressively finer grids.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Here is the step-by-step breakdown of the algorithm's execution flow based on the provided source code: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Initialization and I/O Routing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The program prompts the user for a six-character problem 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It determines if the grid parameters should be read interactively from the keyboard or loaded from a predefined .gin (grid input) 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It opens the necessary output files: an unformatted binary file (.grd) for the solver and a formatted text file (.got) for human-readable output.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Base Grid Generation (GRIDGN)</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The algorithm sets the current grid level to K=1.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It calls the GRIDGN subroutine, which constructs the coarsest possible grid.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Within GRIDGN, the algorithm first calls BGRID to generate the grid points strictly along the domain boundaries based on user-defined segments.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Once the boundaries are fixed, it calls CALXY to calculate the coordinates of all interior points using transfinite interpolation between the boundaries.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Immediately after generation, the base grid is smoothed by calling SMOG(1). This subroutine adjusts interior points by pulling them toward the center of curvature between their neighbors to prevent highly skewed cells.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Successive Grid Refinement</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The algorithm enters a loop iterating from level K=2 up to the total number of prescribed grid levels (NGR).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For each iteration, it calls GRIDG(K-1) to subdivide the previous, coarser grid into a finer 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After each new fine level is generated, it applies the smoothing algorithm SMOG(K) to that specific level.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Coarse Grid Overwriting (Consistency Check)</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If the user requested multiple grid levels (NGR &gt; 1), the algorithm iterates backward from the second-to-finest grid (NGR-1) down to the base grid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It directly copies the geometric coordinates from the finest grid (X(IJF)) back to the overlapping nodes on the coarser grids (X(IJ)). This ensures absolute geometric consistency across all multigrid levels.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Geometric and Boundary Calculations</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If the user enabled geometric calculations (LCALG), the program calls CALCG. This computes the cell volumes (VOL) and interpolation factors (FX, FY) for the finite volume solver.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It calls SETBC to scan the grid and categorize boundary cell faces (e.g., inlets, outlets, symmetry planes, walls, and O/C-grid cuts).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It executes SODW and SODS to calculate the normal/tangential unit vectors for walls and symmetry boundaries, as well as the cell face area divided by the distance to the cell center.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Storage and File Output</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The algorithm dynamically calculates the maximum array sizes required for the generated mesh and writes them into a param.inc file. This allows the main flow solver to be recompiled with the exact memory footprint needed.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If storage is enabled (LSTORE), it dumps the coordinate arrays, geometric metrics, and boundary index lists into the binary .grd 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If print output is requested (LPRINT), it calls PRINTX to write formatted data to the .got 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The program closes all open files and terminates.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Would you like me to explain the specific mathematics behind the interior smoothing algorithm (SMOG), or would you prefer to look closer at how the boundary coordinates are subdivided?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