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6B60" w14:textId="77777777" w:rsidR="00EC7E31" w:rsidRDefault="00000000">
      <w:pPr>
        <w:spacing w:before="200" w:after="40"/>
        <w:jc w:val="center"/>
      </w:pPr>
      <w:r>
        <w:rPr>
          <w:b/>
          <w:bCs/>
          <w:color w:val="1F3864"/>
          <w:sz w:val="40"/>
          <w:szCs w:val="40"/>
        </w:rPr>
        <w:t>SUPERSTORE PERFORMANCE DASHBOARD</w:t>
      </w:r>
    </w:p>
    <w:p w14:paraId="4E0B1B7D" w14:textId="77777777" w:rsidR="00EC7E31" w:rsidRDefault="00000000">
      <w:pPr>
        <w:spacing w:after="40"/>
        <w:jc w:val="center"/>
      </w:pPr>
      <w:r>
        <w:rPr>
          <w:b/>
          <w:bCs/>
          <w:color w:val="2E75B6"/>
          <w:sz w:val="28"/>
          <w:szCs w:val="28"/>
        </w:rPr>
        <w:t>Executive Summary Report</w:t>
      </w:r>
    </w:p>
    <w:p w14:paraId="1B2A6D8B" w14:textId="268785AE" w:rsidR="00EC7E31" w:rsidRDefault="00000000">
      <w:pPr>
        <w:spacing w:after="60"/>
        <w:jc w:val="center"/>
      </w:pPr>
      <w:r>
        <w:rPr>
          <w:i/>
          <w:iCs/>
          <w:color w:val="595959"/>
        </w:rPr>
        <w:t xml:space="preserve">Prepared by </w:t>
      </w:r>
      <w:r w:rsidR="00F038B2">
        <w:rPr>
          <w:i/>
          <w:iCs/>
          <w:color w:val="595959"/>
        </w:rPr>
        <w:t>Yewande Mosaku</w:t>
      </w:r>
      <w:r>
        <w:rPr>
          <w:i/>
          <w:iCs/>
          <w:color w:val="595959"/>
        </w:rPr>
        <w:t xml:space="preserve"> | Junior Business Intelligence Analyst</w:t>
      </w:r>
    </w:p>
    <w:p w14:paraId="45B92CE3" w14:textId="77777777" w:rsidR="00EC7E31" w:rsidRDefault="00000000">
      <w:pPr>
        <w:spacing w:after="300"/>
        <w:jc w:val="center"/>
      </w:pPr>
      <w:proofErr w:type="spellStart"/>
      <w:r>
        <w:rPr>
          <w:color w:val="595959"/>
          <w:sz w:val="18"/>
          <w:szCs w:val="18"/>
        </w:rPr>
        <w:t>AnalystLab</w:t>
      </w:r>
      <w:proofErr w:type="spellEnd"/>
      <w:r>
        <w:rPr>
          <w:color w:val="595959"/>
          <w:sz w:val="18"/>
          <w:szCs w:val="18"/>
        </w:rPr>
        <w:t xml:space="preserve"> Africa Data Analytics Internship </w:t>
      </w:r>
      <w:proofErr w:type="spellStart"/>
      <w:r>
        <w:rPr>
          <w:color w:val="595959"/>
          <w:sz w:val="18"/>
          <w:szCs w:val="18"/>
        </w:rPr>
        <w:t>Programme</w:t>
      </w:r>
      <w:proofErr w:type="spellEnd"/>
      <w:r>
        <w:rPr>
          <w:color w:val="595959"/>
          <w:sz w:val="18"/>
          <w:szCs w:val="18"/>
        </w:rPr>
        <w:t xml:space="preserve"> — Week 2 Business Analytics Case Study</w:t>
      </w:r>
    </w:p>
    <w:p w14:paraId="6BFBCD90" w14:textId="77777777" w:rsidR="00EC7E31" w:rsidRDefault="00000000">
      <w:pPr>
        <w:pStyle w:val="Heading1"/>
        <w:spacing w:before="320" w:after="160"/>
      </w:pPr>
      <w:r>
        <w:rPr>
          <w:b/>
          <w:bCs/>
          <w:color w:val="1F3864"/>
        </w:rPr>
        <w:t>Purpose</w:t>
      </w:r>
    </w:p>
    <w:p w14:paraId="360A09FE" w14:textId="77777777" w:rsidR="00EC7E31" w:rsidRDefault="00000000">
      <w:pPr>
        <w:spacing w:after="160" w:line="276" w:lineRule="auto"/>
      </w:pPr>
      <w:r>
        <w:rPr>
          <w:color w:val="262626"/>
          <w:sz w:val="22"/>
          <w:szCs w:val="22"/>
        </w:rPr>
        <w:t>This report summarizes the findings of the Superstore Performance Dashboard, built in Microsoft Power BI to help senior management monitor sales performance, profitability, customer behavior, and regional performance for the retail business. It draws on the full Sample Superstore dataset (9,994 order line items, 2014–2017) and translates the dashboard's visuals into business insights and actionable recommendations.</w:t>
      </w:r>
    </w:p>
    <w:p w14:paraId="3A2E38B4" w14:textId="77777777" w:rsidR="00EC7E31" w:rsidRDefault="00000000">
      <w:pPr>
        <w:pStyle w:val="Heading1"/>
        <w:spacing w:before="320" w:after="160"/>
      </w:pPr>
      <w:r>
        <w:rPr>
          <w:b/>
          <w:bCs/>
          <w:color w:val="1F3864"/>
        </w:rPr>
        <w:t>Key Performance Indicators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EC7E31" w14:paraId="50E02068" w14:textId="77777777">
        <w:tblPrEx>
          <w:tblCellMar>
            <w:top w:w="0" w:type="dxa"/>
            <w:bottom w:w="0" w:type="dxa"/>
          </w:tblCellMar>
        </w:tblPrEx>
        <w:tc>
          <w:tcPr>
            <w:tcW w:w="2016" w:type="dxa"/>
            <w:shd w:val="clear" w:color="auto" w:fill="1F3864"/>
            <w:tcMar>
              <w:top w:w="160" w:type="dxa"/>
              <w:left w:w="80" w:type="dxa"/>
              <w:bottom w:w="160" w:type="dxa"/>
              <w:right w:w="80" w:type="dxa"/>
            </w:tcMar>
          </w:tcPr>
          <w:p w14:paraId="1A422CA8" w14:textId="77777777" w:rsidR="00EC7E31" w:rsidRDefault="00000000">
            <w:pPr>
              <w:spacing w:after="40"/>
              <w:jc w:val="center"/>
            </w:pPr>
            <w:r>
              <w:rPr>
                <w:b/>
                <w:bCs/>
                <w:color w:val="FFFFFF"/>
                <w:sz w:val="26"/>
                <w:szCs w:val="26"/>
              </w:rPr>
              <w:t>$2.30M</w:t>
            </w:r>
          </w:p>
          <w:p w14:paraId="77B7E5A5" w14:textId="77777777" w:rsidR="00EC7E31" w:rsidRDefault="00000000">
            <w:pPr>
              <w:jc w:val="center"/>
            </w:pPr>
            <w:r>
              <w:rPr>
                <w:color w:val="DCE6F1"/>
                <w:sz w:val="16"/>
                <w:szCs w:val="16"/>
              </w:rPr>
              <w:t>Total Sales</w:t>
            </w:r>
          </w:p>
        </w:tc>
        <w:tc>
          <w:tcPr>
            <w:tcW w:w="2016" w:type="dxa"/>
            <w:shd w:val="clear" w:color="auto" w:fill="1F3864"/>
            <w:tcMar>
              <w:top w:w="160" w:type="dxa"/>
              <w:left w:w="80" w:type="dxa"/>
              <w:bottom w:w="160" w:type="dxa"/>
              <w:right w:w="80" w:type="dxa"/>
            </w:tcMar>
          </w:tcPr>
          <w:p w14:paraId="64F1E91E" w14:textId="77777777" w:rsidR="00EC7E31" w:rsidRDefault="00000000">
            <w:pPr>
              <w:spacing w:after="40"/>
              <w:jc w:val="center"/>
            </w:pPr>
            <w:r>
              <w:rPr>
                <w:b/>
                <w:bCs/>
                <w:color w:val="FFFFFF"/>
                <w:sz w:val="26"/>
                <w:szCs w:val="26"/>
              </w:rPr>
              <w:t>$286.41K</w:t>
            </w:r>
          </w:p>
          <w:p w14:paraId="2F891F9B" w14:textId="77777777" w:rsidR="00EC7E31" w:rsidRDefault="00000000">
            <w:pPr>
              <w:jc w:val="center"/>
            </w:pPr>
            <w:r>
              <w:rPr>
                <w:color w:val="DCE6F1"/>
                <w:sz w:val="16"/>
                <w:szCs w:val="16"/>
              </w:rPr>
              <w:t>Total Profit</w:t>
            </w:r>
          </w:p>
        </w:tc>
        <w:tc>
          <w:tcPr>
            <w:tcW w:w="2016" w:type="dxa"/>
            <w:shd w:val="clear" w:color="auto" w:fill="1F3864"/>
            <w:tcMar>
              <w:top w:w="160" w:type="dxa"/>
              <w:left w:w="80" w:type="dxa"/>
              <w:bottom w:w="160" w:type="dxa"/>
              <w:right w:w="80" w:type="dxa"/>
            </w:tcMar>
          </w:tcPr>
          <w:p w14:paraId="3A8E52E1" w14:textId="77777777" w:rsidR="00EC7E31" w:rsidRDefault="00000000">
            <w:pPr>
              <w:spacing w:after="40"/>
              <w:jc w:val="center"/>
            </w:pPr>
            <w:r>
              <w:rPr>
                <w:b/>
                <w:bCs/>
                <w:color w:val="FFFFFF"/>
                <w:sz w:val="26"/>
                <w:szCs w:val="26"/>
              </w:rPr>
              <w:t>5,009</w:t>
            </w:r>
          </w:p>
          <w:p w14:paraId="010E45DA" w14:textId="77777777" w:rsidR="00EC7E31" w:rsidRDefault="00000000">
            <w:pPr>
              <w:jc w:val="center"/>
            </w:pPr>
            <w:r>
              <w:rPr>
                <w:color w:val="DCE6F1"/>
                <w:sz w:val="16"/>
                <w:szCs w:val="16"/>
              </w:rPr>
              <w:t>Total Orders</w:t>
            </w:r>
          </w:p>
        </w:tc>
        <w:tc>
          <w:tcPr>
            <w:tcW w:w="2016" w:type="dxa"/>
            <w:shd w:val="clear" w:color="auto" w:fill="1F3864"/>
            <w:tcMar>
              <w:top w:w="160" w:type="dxa"/>
              <w:left w:w="80" w:type="dxa"/>
              <w:bottom w:w="160" w:type="dxa"/>
              <w:right w:w="80" w:type="dxa"/>
            </w:tcMar>
          </w:tcPr>
          <w:p w14:paraId="1B9A73F2" w14:textId="77777777" w:rsidR="00EC7E31" w:rsidRDefault="00000000">
            <w:pPr>
              <w:spacing w:after="40"/>
              <w:jc w:val="center"/>
            </w:pPr>
            <w:r>
              <w:rPr>
                <w:b/>
                <w:bCs/>
                <w:color w:val="FFFFFF"/>
                <w:sz w:val="26"/>
                <w:szCs w:val="26"/>
              </w:rPr>
              <w:t>$458.56</w:t>
            </w:r>
          </w:p>
          <w:p w14:paraId="0F5EC3CA" w14:textId="77777777" w:rsidR="00EC7E31" w:rsidRDefault="00000000">
            <w:pPr>
              <w:jc w:val="center"/>
            </w:pPr>
            <w:r>
              <w:rPr>
                <w:color w:val="DCE6F1"/>
                <w:sz w:val="16"/>
                <w:szCs w:val="16"/>
              </w:rPr>
              <w:t>Average Sales</w:t>
            </w:r>
          </w:p>
        </w:tc>
        <w:tc>
          <w:tcPr>
            <w:tcW w:w="2016" w:type="dxa"/>
            <w:shd w:val="clear" w:color="auto" w:fill="1F3864"/>
            <w:tcMar>
              <w:top w:w="160" w:type="dxa"/>
              <w:left w:w="80" w:type="dxa"/>
              <w:bottom w:w="160" w:type="dxa"/>
              <w:right w:w="80" w:type="dxa"/>
            </w:tcMar>
          </w:tcPr>
          <w:p w14:paraId="4189D631" w14:textId="77777777" w:rsidR="00EC7E31" w:rsidRDefault="00000000">
            <w:pPr>
              <w:spacing w:after="40"/>
              <w:jc w:val="center"/>
            </w:pPr>
            <w:r>
              <w:rPr>
                <w:b/>
                <w:bCs/>
                <w:color w:val="FFFFFF"/>
                <w:sz w:val="26"/>
                <w:szCs w:val="26"/>
              </w:rPr>
              <w:t>12.5%</w:t>
            </w:r>
          </w:p>
          <w:p w14:paraId="5FEAE1AA" w14:textId="77777777" w:rsidR="00EC7E31" w:rsidRDefault="00000000">
            <w:pPr>
              <w:jc w:val="center"/>
            </w:pPr>
            <w:r>
              <w:rPr>
                <w:color w:val="DCE6F1"/>
                <w:sz w:val="16"/>
                <w:szCs w:val="16"/>
              </w:rPr>
              <w:t>Profit Margin</w:t>
            </w:r>
          </w:p>
        </w:tc>
      </w:tr>
    </w:tbl>
    <w:p w14:paraId="414813F7" w14:textId="77777777" w:rsidR="00EC7E31" w:rsidRDefault="00EC7E31">
      <w:pPr>
        <w:spacing w:before="200"/>
      </w:pPr>
    </w:p>
    <w:p w14:paraId="0532D0F0" w14:textId="77777777" w:rsidR="00EC7E31" w:rsidRDefault="00000000">
      <w:pPr>
        <w:pStyle w:val="Heading1"/>
        <w:spacing w:before="320" w:after="160"/>
      </w:pPr>
      <w:r>
        <w:rPr>
          <w:b/>
          <w:bCs/>
          <w:color w:val="1F3864"/>
        </w:rPr>
        <w:t>Dashboard Overview</w:t>
      </w:r>
    </w:p>
    <w:p w14:paraId="09863160" w14:textId="77777777" w:rsidR="00EC7E31" w:rsidRDefault="00000000">
      <w:pPr>
        <w:spacing w:after="160" w:line="276" w:lineRule="auto"/>
      </w:pPr>
      <w:r>
        <w:rPr>
          <w:color w:val="262626"/>
          <w:sz w:val="22"/>
          <w:szCs w:val="22"/>
        </w:rPr>
        <w:t>Page 1 — Performance Overview: KPI cards, Total Sales &amp; Profit by Region, Total Sales by Segment, Category Performance by Sales &amp; Profit, and the Top 10 Best Performing Products by profit.</w:t>
      </w:r>
    </w:p>
    <w:p w14:paraId="7C20ED76" w14:textId="77777777" w:rsidR="00EC7E31" w:rsidRDefault="00000000">
      <w:pPr>
        <w:spacing w:after="120"/>
        <w:jc w:val="center"/>
      </w:pPr>
      <w:r>
        <w:rPr>
          <w:noProof/>
        </w:rPr>
        <w:drawing>
          <wp:inline distT="0" distB="0" distL="0" distR="0" wp14:anchorId="0933A578" wp14:editId="1D5F9488">
            <wp:extent cx="5905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14:paraId="1642D3E9" w14:textId="77777777" w:rsidR="00EC7E31" w:rsidRDefault="00000000">
      <w:pPr>
        <w:spacing w:after="160" w:line="276" w:lineRule="auto"/>
      </w:pPr>
      <w:r>
        <w:rPr>
          <w:color w:val="262626"/>
          <w:sz w:val="22"/>
          <w:szCs w:val="22"/>
        </w:rPr>
        <w:t>Page 2 — Trend Analysis: Monthly Sales and Profit trend, highlighting seasonal demand patterns across the year.</w:t>
      </w:r>
    </w:p>
    <w:p w14:paraId="1CC857DB" w14:textId="77777777" w:rsidR="00EC7E31" w:rsidRDefault="00000000">
      <w:pPr>
        <w:spacing w:after="120"/>
        <w:jc w:val="center"/>
      </w:pPr>
      <w:r>
        <w:rPr>
          <w:noProof/>
        </w:rPr>
        <w:lastRenderedPageBreak/>
        <w:drawing>
          <wp:inline distT="0" distB="0" distL="0" distR="0" wp14:anchorId="76D1F820" wp14:editId="7028D1D8">
            <wp:extent cx="4572000" cy="2743200"/>
            <wp:effectExtent l="0" t="0" r="0" b="0"/>
            <wp:docPr id="1852047962" name="Picture 1852047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43200"/>
                    </a:xfrm>
                    <a:prstGeom prst="rect">
                      <a:avLst/>
                    </a:prstGeom>
                  </pic:spPr>
                </pic:pic>
              </a:graphicData>
            </a:graphic>
          </wp:inline>
        </w:drawing>
      </w:r>
    </w:p>
    <w:p w14:paraId="4CDF279A" w14:textId="77777777" w:rsidR="00EC7E31" w:rsidRDefault="00000000">
      <w:pPr>
        <w:pStyle w:val="Heading1"/>
        <w:spacing w:before="320" w:after="160"/>
      </w:pPr>
      <w:r>
        <w:rPr>
          <w:b/>
          <w:bCs/>
          <w:color w:val="1F3864"/>
        </w:rPr>
        <w:t>Performance Breakdown</w:t>
      </w:r>
    </w:p>
    <w:p w14:paraId="27FF1DE2" w14:textId="77777777" w:rsidR="00EC7E31" w:rsidRDefault="00000000">
      <w:pPr>
        <w:spacing w:after="160" w:line="276" w:lineRule="auto"/>
      </w:pPr>
      <w:r>
        <w:rPr>
          <w:b/>
          <w:bCs/>
          <w:color w:val="262626"/>
          <w:sz w:val="22"/>
          <w:szCs w:val="22"/>
        </w:rPr>
        <w:t>Regional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EC7E31" w14:paraId="02E9AA5B" w14:textId="77777777">
        <w:tblPrEx>
          <w:tblCellMar>
            <w:top w:w="0" w:type="dxa"/>
            <w:bottom w:w="0" w:type="dxa"/>
          </w:tblCellMar>
        </w:tblPrEx>
        <w:tc>
          <w:tcPr>
            <w:tcW w:w="3360" w:type="dxa"/>
            <w:shd w:val="clear" w:color="auto" w:fill="2E75B6"/>
            <w:tcMar>
              <w:top w:w="100" w:type="dxa"/>
              <w:left w:w="120" w:type="dxa"/>
              <w:bottom w:w="100" w:type="dxa"/>
              <w:right w:w="120" w:type="dxa"/>
            </w:tcMar>
          </w:tcPr>
          <w:p w14:paraId="012A1FE7" w14:textId="77777777" w:rsidR="00EC7E31" w:rsidRDefault="00000000">
            <w:r>
              <w:rPr>
                <w:b/>
                <w:bCs/>
                <w:color w:val="FFFFFF"/>
              </w:rPr>
              <w:t>Region</w:t>
            </w:r>
          </w:p>
        </w:tc>
        <w:tc>
          <w:tcPr>
            <w:tcW w:w="3360" w:type="dxa"/>
            <w:shd w:val="clear" w:color="auto" w:fill="2E75B6"/>
            <w:tcMar>
              <w:top w:w="100" w:type="dxa"/>
              <w:left w:w="120" w:type="dxa"/>
              <w:bottom w:w="100" w:type="dxa"/>
              <w:right w:w="120" w:type="dxa"/>
            </w:tcMar>
          </w:tcPr>
          <w:p w14:paraId="48168841" w14:textId="77777777" w:rsidR="00EC7E31" w:rsidRDefault="00000000">
            <w:r>
              <w:rPr>
                <w:b/>
                <w:bCs/>
                <w:color w:val="FFFFFF"/>
              </w:rPr>
              <w:t>Total Sales</w:t>
            </w:r>
          </w:p>
        </w:tc>
        <w:tc>
          <w:tcPr>
            <w:tcW w:w="3360" w:type="dxa"/>
            <w:shd w:val="clear" w:color="auto" w:fill="2E75B6"/>
            <w:tcMar>
              <w:top w:w="100" w:type="dxa"/>
              <w:left w:w="120" w:type="dxa"/>
              <w:bottom w:w="100" w:type="dxa"/>
              <w:right w:w="120" w:type="dxa"/>
            </w:tcMar>
          </w:tcPr>
          <w:p w14:paraId="23760D51" w14:textId="77777777" w:rsidR="00EC7E31" w:rsidRDefault="00000000">
            <w:r>
              <w:rPr>
                <w:b/>
                <w:bCs/>
                <w:color w:val="FFFFFF"/>
              </w:rPr>
              <w:t>Total Profit</w:t>
            </w:r>
          </w:p>
        </w:tc>
      </w:tr>
      <w:tr w:rsidR="00EC7E31" w14:paraId="39842CD7" w14:textId="77777777">
        <w:tblPrEx>
          <w:tblCellMar>
            <w:top w:w="0" w:type="dxa"/>
            <w:bottom w:w="0" w:type="dxa"/>
          </w:tblCellMar>
        </w:tblPrEx>
        <w:tc>
          <w:tcPr>
            <w:tcW w:w="3360" w:type="dxa"/>
            <w:shd w:val="clear" w:color="auto" w:fill="F2F2F2"/>
            <w:tcMar>
              <w:top w:w="100" w:type="dxa"/>
              <w:left w:w="120" w:type="dxa"/>
              <w:bottom w:w="100" w:type="dxa"/>
              <w:right w:w="120" w:type="dxa"/>
            </w:tcMar>
          </w:tcPr>
          <w:p w14:paraId="593914F0" w14:textId="77777777" w:rsidR="00EC7E31" w:rsidRDefault="00000000">
            <w:r>
              <w:rPr>
                <w:color w:val="262626"/>
              </w:rPr>
              <w:t>West</w:t>
            </w:r>
          </w:p>
        </w:tc>
        <w:tc>
          <w:tcPr>
            <w:tcW w:w="3360" w:type="dxa"/>
            <w:shd w:val="clear" w:color="auto" w:fill="F2F2F2"/>
            <w:tcMar>
              <w:top w:w="100" w:type="dxa"/>
              <w:left w:w="120" w:type="dxa"/>
              <w:bottom w:w="100" w:type="dxa"/>
              <w:right w:w="120" w:type="dxa"/>
            </w:tcMar>
          </w:tcPr>
          <w:p w14:paraId="7DE517A6" w14:textId="77777777" w:rsidR="00EC7E31" w:rsidRDefault="00000000">
            <w:r>
              <w:rPr>
                <w:color w:val="262626"/>
              </w:rPr>
              <w:t>$725,458</w:t>
            </w:r>
          </w:p>
        </w:tc>
        <w:tc>
          <w:tcPr>
            <w:tcW w:w="3360" w:type="dxa"/>
            <w:shd w:val="clear" w:color="auto" w:fill="F2F2F2"/>
            <w:tcMar>
              <w:top w:w="100" w:type="dxa"/>
              <w:left w:w="120" w:type="dxa"/>
              <w:bottom w:w="100" w:type="dxa"/>
              <w:right w:w="120" w:type="dxa"/>
            </w:tcMar>
          </w:tcPr>
          <w:p w14:paraId="58C931B1" w14:textId="77777777" w:rsidR="00EC7E31" w:rsidRDefault="00000000">
            <w:r>
              <w:rPr>
                <w:color w:val="262626"/>
              </w:rPr>
              <w:t>$108,418</w:t>
            </w:r>
          </w:p>
        </w:tc>
      </w:tr>
      <w:tr w:rsidR="00EC7E31" w14:paraId="3F63479D" w14:textId="77777777">
        <w:tblPrEx>
          <w:tblCellMar>
            <w:top w:w="0" w:type="dxa"/>
            <w:bottom w:w="0" w:type="dxa"/>
          </w:tblCellMar>
        </w:tblPrEx>
        <w:tc>
          <w:tcPr>
            <w:tcW w:w="3360" w:type="dxa"/>
            <w:shd w:val="clear" w:color="auto" w:fill="F2F2F2"/>
            <w:tcMar>
              <w:top w:w="100" w:type="dxa"/>
              <w:left w:w="120" w:type="dxa"/>
              <w:bottom w:w="100" w:type="dxa"/>
              <w:right w:w="120" w:type="dxa"/>
            </w:tcMar>
          </w:tcPr>
          <w:p w14:paraId="1EB91045" w14:textId="77777777" w:rsidR="00EC7E31" w:rsidRDefault="00000000">
            <w:r>
              <w:rPr>
                <w:color w:val="262626"/>
              </w:rPr>
              <w:t>East</w:t>
            </w:r>
          </w:p>
        </w:tc>
        <w:tc>
          <w:tcPr>
            <w:tcW w:w="3360" w:type="dxa"/>
            <w:shd w:val="clear" w:color="auto" w:fill="F2F2F2"/>
            <w:tcMar>
              <w:top w:w="100" w:type="dxa"/>
              <w:left w:w="120" w:type="dxa"/>
              <w:bottom w:w="100" w:type="dxa"/>
              <w:right w:w="120" w:type="dxa"/>
            </w:tcMar>
          </w:tcPr>
          <w:p w14:paraId="3CB1EA94" w14:textId="77777777" w:rsidR="00EC7E31" w:rsidRDefault="00000000">
            <w:r>
              <w:rPr>
                <w:color w:val="262626"/>
              </w:rPr>
              <w:t>$678,781</w:t>
            </w:r>
          </w:p>
        </w:tc>
        <w:tc>
          <w:tcPr>
            <w:tcW w:w="3360" w:type="dxa"/>
            <w:shd w:val="clear" w:color="auto" w:fill="F2F2F2"/>
            <w:tcMar>
              <w:top w:w="100" w:type="dxa"/>
              <w:left w:w="120" w:type="dxa"/>
              <w:bottom w:w="100" w:type="dxa"/>
              <w:right w:w="120" w:type="dxa"/>
            </w:tcMar>
          </w:tcPr>
          <w:p w14:paraId="1080FC7F" w14:textId="77777777" w:rsidR="00EC7E31" w:rsidRDefault="00000000">
            <w:r>
              <w:rPr>
                <w:color w:val="262626"/>
              </w:rPr>
              <w:t>$91,523</w:t>
            </w:r>
          </w:p>
        </w:tc>
      </w:tr>
      <w:tr w:rsidR="00EC7E31" w14:paraId="4C51F0E0" w14:textId="77777777">
        <w:tblPrEx>
          <w:tblCellMar>
            <w:top w:w="0" w:type="dxa"/>
            <w:bottom w:w="0" w:type="dxa"/>
          </w:tblCellMar>
        </w:tblPrEx>
        <w:tc>
          <w:tcPr>
            <w:tcW w:w="3360" w:type="dxa"/>
            <w:shd w:val="clear" w:color="auto" w:fill="F2F2F2"/>
            <w:tcMar>
              <w:top w:w="100" w:type="dxa"/>
              <w:left w:w="120" w:type="dxa"/>
              <w:bottom w:w="100" w:type="dxa"/>
              <w:right w:w="120" w:type="dxa"/>
            </w:tcMar>
          </w:tcPr>
          <w:p w14:paraId="5EBF23B5" w14:textId="77777777" w:rsidR="00EC7E31" w:rsidRDefault="00000000">
            <w:r>
              <w:rPr>
                <w:color w:val="262626"/>
              </w:rPr>
              <w:t>Central</w:t>
            </w:r>
          </w:p>
        </w:tc>
        <w:tc>
          <w:tcPr>
            <w:tcW w:w="3360" w:type="dxa"/>
            <w:shd w:val="clear" w:color="auto" w:fill="F2F2F2"/>
            <w:tcMar>
              <w:top w:w="100" w:type="dxa"/>
              <w:left w:w="120" w:type="dxa"/>
              <w:bottom w:w="100" w:type="dxa"/>
              <w:right w:w="120" w:type="dxa"/>
            </w:tcMar>
          </w:tcPr>
          <w:p w14:paraId="65C9B024" w14:textId="77777777" w:rsidR="00EC7E31" w:rsidRDefault="00000000">
            <w:r>
              <w:rPr>
                <w:color w:val="262626"/>
              </w:rPr>
              <w:t>$501,240</w:t>
            </w:r>
          </w:p>
        </w:tc>
        <w:tc>
          <w:tcPr>
            <w:tcW w:w="3360" w:type="dxa"/>
            <w:shd w:val="clear" w:color="auto" w:fill="F2F2F2"/>
            <w:tcMar>
              <w:top w:w="100" w:type="dxa"/>
              <w:left w:w="120" w:type="dxa"/>
              <w:bottom w:w="100" w:type="dxa"/>
              <w:right w:w="120" w:type="dxa"/>
            </w:tcMar>
          </w:tcPr>
          <w:p w14:paraId="057749AC" w14:textId="77777777" w:rsidR="00EC7E31" w:rsidRDefault="00000000">
            <w:r>
              <w:rPr>
                <w:color w:val="262626"/>
              </w:rPr>
              <w:t>$39,706</w:t>
            </w:r>
          </w:p>
        </w:tc>
      </w:tr>
      <w:tr w:rsidR="00EC7E31" w14:paraId="787F2608" w14:textId="77777777">
        <w:tblPrEx>
          <w:tblCellMar>
            <w:top w:w="0" w:type="dxa"/>
            <w:bottom w:w="0" w:type="dxa"/>
          </w:tblCellMar>
        </w:tblPrEx>
        <w:tc>
          <w:tcPr>
            <w:tcW w:w="3360" w:type="dxa"/>
            <w:shd w:val="clear" w:color="auto" w:fill="F2F2F2"/>
            <w:tcMar>
              <w:top w:w="100" w:type="dxa"/>
              <w:left w:w="120" w:type="dxa"/>
              <w:bottom w:w="100" w:type="dxa"/>
              <w:right w:w="120" w:type="dxa"/>
            </w:tcMar>
          </w:tcPr>
          <w:p w14:paraId="7E928D59" w14:textId="77777777" w:rsidR="00EC7E31" w:rsidRDefault="00000000">
            <w:r>
              <w:rPr>
                <w:color w:val="262626"/>
              </w:rPr>
              <w:t>South</w:t>
            </w:r>
          </w:p>
        </w:tc>
        <w:tc>
          <w:tcPr>
            <w:tcW w:w="3360" w:type="dxa"/>
            <w:shd w:val="clear" w:color="auto" w:fill="F2F2F2"/>
            <w:tcMar>
              <w:top w:w="100" w:type="dxa"/>
              <w:left w:w="120" w:type="dxa"/>
              <w:bottom w:w="100" w:type="dxa"/>
              <w:right w:w="120" w:type="dxa"/>
            </w:tcMar>
          </w:tcPr>
          <w:p w14:paraId="57459694" w14:textId="77777777" w:rsidR="00EC7E31" w:rsidRDefault="00000000">
            <w:r>
              <w:rPr>
                <w:color w:val="262626"/>
              </w:rPr>
              <w:t>$391,722</w:t>
            </w:r>
          </w:p>
        </w:tc>
        <w:tc>
          <w:tcPr>
            <w:tcW w:w="3360" w:type="dxa"/>
            <w:shd w:val="clear" w:color="auto" w:fill="F2F2F2"/>
            <w:tcMar>
              <w:top w:w="100" w:type="dxa"/>
              <w:left w:w="120" w:type="dxa"/>
              <w:bottom w:w="100" w:type="dxa"/>
              <w:right w:w="120" w:type="dxa"/>
            </w:tcMar>
          </w:tcPr>
          <w:p w14:paraId="23AE805D" w14:textId="77777777" w:rsidR="00EC7E31" w:rsidRDefault="00000000">
            <w:r>
              <w:rPr>
                <w:color w:val="262626"/>
              </w:rPr>
              <w:t>$46,749</w:t>
            </w:r>
          </w:p>
        </w:tc>
      </w:tr>
    </w:tbl>
    <w:p w14:paraId="40E2EE3A" w14:textId="77777777" w:rsidR="00EC7E31" w:rsidRDefault="00EC7E31">
      <w:pPr>
        <w:spacing w:before="200"/>
      </w:pPr>
    </w:p>
    <w:p w14:paraId="5CDA0182" w14:textId="77777777" w:rsidR="00EC7E31" w:rsidRDefault="00000000">
      <w:pPr>
        <w:spacing w:after="160" w:line="276" w:lineRule="auto"/>
      </w:pPr>
      <w:r>
        <w:rPr>
          <w:b/>
          <w:bCs/>
          <w:color w:val="262626"/>
          <w:sz w:val="22"/>
          <w:szCs w:val="22"/>
        </w:rPr>
        <w:t>Customer Segment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EC7E31" w14:paraId="435386DF" w14:textId="77777777">
        <w:tblPrEx>
          <w:tblCellMar>
            <w:top w:w="0" w:type="dxa"/>
            <w:bottom w:w="0" w:type="dxa"/>
          </w:tblCellMar>
        </w:tblPrEx>
        <w:tc>
          <w:tcPr>
            <w:tcW w:w="3360" w:type="dxa"/>
            <w:shd w:val="clear" w:color="auto" w:fill="2E75B6"/>
            <w:tcMar>
              <w:top w:w="100" w:type="dxa"/>
              <w:left w:w="120" w:type="dxa"/>
              <w:bottom w:w="100" w:type="dxa"/>
              <w:right w:w="120" w:type="dxa"/>
            </w:tcMar>
          </w:tcPr>
          <w:p w14:paraId="3278BB48" w14:textId="77777777" w:rsidR="00EC7E31" w:rsidRDefault="00000000">
            <w:r>
              <w:rPr>
                <w:b/>
                <w:bCs/>
                <w:color w:val="FFFFFF"/>
              </w:rPr>
              <w:t>Segment</w:t>
            </w:r>
          </w:p>
        </w:tc>
        <w:tc>
          <w:tcPr>
            <w:tcW w:w="3360" w:type="dxa"/>
            <w:shd w:val="clear" w:color="auto" w:fill="2E75B6"/>
            <w:tcMar>
              <w:top w:w="100" w:type="dxa"/>
              <w:left w:w="120" w:type="dxa"/>
              <w:bottom w:w="100" w:type="dxa"/>
              <w:right w:w="120" w:type="dxa"/>
            </w:tcMar>
          </w:tcPr>
          <w:p w14:paraId="5CB597F0" w14:textId="77777777" w:rsidR="00EC7E31" w:rsidRDefault="00000000">
            <w:r>
              <w:rPr>
                <w:b/>
                <w:bCs/>
                <w:color w:val="FFFFFF"/>
              </w:rPr>
              <w:t>Total Sales</w:t>
            </w:r>
          </w:p>
        </w:tc>
        <w:tc>
          <w:tcPr>
            <w:tcW w:w="3360" w:type="dxa"/>
            <w:shd w:val="clear" w:color="auto" w:fill="2E75B6"/>
            <w:tcMar>
              <w:top w:w="100" w:type="dxa"/>
              <w:left w:w="120" w:type="dxa"/>
              <w:bottom w:w="100" w:type="dxa"/>
              <w:right w:w="120" w:type="dxa"/>
            </w:tcMar>
          </w:tcPr>
          <w:p w14:paraId="3D92C9C6" w14:textId="77777777" w:rsidR="00EC7E31" w:rsidRDefault="00000000">
            <w:r>
              <w:rPr>
                <w:b/>
                <w:bCs/>
                <w:color w:val="FFFFFF"/>
              </w:rPr>
              <w:t>Total Profit</w:t>
            </w:r>
          </w:p>
        </w:tc>
      </w:tr>
      <w:tr w:rsidR="00EC7E31" w14:paraId="0ED4FD37" w14:textId="77777777">
        <w:tblPrEx>
          <w:tblCellMar>
            <w:top w:w="0" w:type="dxa"/>
            <w:bottom w:w="0" w:type="dxa"/>
          </w:tblCellMar>
        </w:tblPrEx>
        <w:tc>
          <w:tcPr>
            <w:tcW w:w="3360" w:type="dxa"/>
            <w:shd w:val="clear" w:color="auto" w:fill="F2F2F2"/>
            <w:tcMar>
              <w:top w:w="100" w:type="dxa"/>
              <w:left w:w="120" w:type="dxa"/>
              <w:bottom w:w="100" w:type="dxa"/>
              <w:right w:w="120" w:type="dxa"/>
            </w:tcMar>
          </w:tcPr>
          <w:p w14:paraId="7669FFF6" w14:textId="77777777" w:rsidR="00EC7E31" w:rsidRDefault="00000000">
            <w:r>
              <w:rPr>
                <w:color w:val="262626"/>
              </w:rPr>
              <w:t>Consumer</w:t>
            </w:r>
          </w:p>
        </w:tc>
        <w:tc>
          <w:tcPr>
            <w:tcW w:w="3360" w:type="dxa"/>
            <w:shd w:val="clear" w:color="auto" w:fill="F2F2F2"/>
            <w:tcMar>
              <w:top w:w="100" w:type="dxa"/>
              <w:left w:w="120" w:type="dxa"/>
              <w:bottom w:w="100" w:type="dxa"/>
              <w:right w:w="120" w:type="dxa"/>
            </w:tcMar>
          </w:tcPr>
          <w:p w14:paraId="5B8D703C" w14:textId="77777777" w:rsidR="00EC7E31" w:rsidRDefault="00000000">
            <w:r>
              <w:rPr>
                <w:color w:val="262626"/>
              </w:rPr>
              <w:t>$1,161,401</w:t>
            </w:r>
          </w:p>
        </w:tc>
        <w:tc>
          <w:tcPr>
            <w:tcW w:w="3360" w:type="dxa"/>
            <w:shd w:val="clear" w:color="auto" w:fill="F2F2F2"/>
            <w:tcMar>
              <w:top w:w="100" w:type="dxa"/>
              <w:left w:w="120" w:type="dxa"/>
              <w:bottom w:w="100" w:type="dxa"/>
              <w:right w:w="120" w:type="dxa"/>
            </w:tcMar>
          </w:tcPr>
          <w:p w14:paraId="5C178EFA" w14:textId="77777777" w:rsidR="00EC7E31" w:rsidRDefault="00000000">
            <w:r>
              <w:rPr>
                <w:color w:val="262626"/>
              </w:rPr>
              <w:t>$134,119</w:t>
            </w:r>
          </w:p>
        </w:tc>
      </w:tr>
      <w:tr w:rsidR="00EC7E31" w14:paraId="31AFD7BD" w14:textId="77777777">
        <w:tblPrEx>
          <w:tblCellMar>
            <w:top w:w="0" w:type="dxa"/>
            <w:bottom w:w="0" w:type="dxa"/>
          </w:tblCellMar>
        </w:tblPrEx>
        <w:tc>
          <w:tcPr>
            <w:tcW w:w="3360" w:type="dxa"/>
            <w:shd w:val="clear" w:color="auto" w:fill="F2F2F2"/>
            <w:tcMar>
              <w:top w:w="100" w:type="dxa"/>
              <w:left w:w="120" w:type="dxa"/>
              <w:bottom w:w="100" w:type="dxa"/>
              <w:right w:w="120" w:type="dxa"/>
            </w:tcMar>
          </w:tcPr>
          <w:p w14:paraId="1C02EC24" w14:textId="77777777" w:rsidR="00EC7E31" w:rsidRDefault="00000000">
            <w:r>
              <w:rPr>
                <w:color w:val="262626"/>
              </w:rPr>
              <w:t>Corporate</w:t>
            </w:r>
          </w:p>
        </w:tc>
        <w:tc>
          <w:tcPr>
            <w:tcW w:w="3360" w:type="dxa"/>
            <w:shd w:val="clear" w:color="auto" w:fill="F2F2F2"/>
            <w:tcMar>
              <w:top w:w="100" w:type="dxa"/>
              <w:left w:w="120" w:type="dxa"/>
              <w:bottom w:w="100" w:type="dxa"/>
              <w:right w:w="120" w:type="dxa"/>
            </w:tcMar>
          </w:tcPr>
          <w:p w14:paraId="3729EDA8" w14:textId="77777777" w:rsidR="00EC7E31" w:rsidRDefault="00000000">
            <w:r>
              <w:rPr>
                <w:color w:val="262626"/>
              </w:rPr>
              <w:t>$706,146</w:t>
            </w:r>
          </w:p>
        </w:tc>
        <w:tc>
          <w:tcPr>
            <w:tcW w:w="3360" w:type="dxa"/>
            <w:shd w:val="clear" w:color="auto" w:fill="F2F2F2"/>
            <w:tcMar>
              <w:top w:w="100" w:type="dxa"/>
              <w:left w:w="120" w:type="dxa"/>
              <w:bottom w:w="100" w:type="dxa"/>
              <w:right w:w="120" w:type="dxa"/>
            </w:tcMar>
          </w:tcPr>
          <w:p w14:paraId="5E8F11EF" w14:textId="77777777" w:rsidR="00EC7E31" w:rsidRDefault="00000000">
            <w:r>
              <w:rPr>
                <w:color w:val="262626"/>
              </w:rPr>
              <w:t>$91,979</w:t>
            </w:r>
          </w:p>
        </w:tc>
      </w:tr>
      <w:tr w:rsidR="00EC7E31" w14:paraId="31899DDB" w14:textId="77777777">
        <w:tblPrEx>
          <w:tblCellMar>
            <w:top w:w="0" w:type="dxa"/>
            <w:bottom w:w="0" w:type="dxa"/>
          </w:tblCellMar>
        </w:tblPrEx>
        <w:tc>
          <w:tcPr>
            <w:tcW w:w="3360" w:type="dxa"/>
            <w:shd w:val="clear" w:color="auto" w:fill="F2F2F2"/>
            <w:tcMar>
              <w:top w:w="100" w:type="dxa"/>
              <w:left w:w="120" w:type="dxa"/>
              <w:bottom w:w="100" w:type="dxa"/>
              <w:right w:w="120" w:type="dxa"/>
            </w:tcMar>
          </w:tcPr>
          <w:p w14:paraId="41F4464D" w14:textId="77777777" w:rsidR="00EC7E31" w:rsidRDefault="00000000">
            <w:r>
              <w:rPr>
                <w:color w:val="262626"/>
              </w:rPr>
              <w:t>Home Office</w:t>
            </w:r>
          </w:p>
        </w:tc>
        <w:tc>
          <w:tcPr>
            <w:tcW w:w="3360" w:type="dxa"/>
            <w:shd w:val="clear" w:color="auto" w:fill="F2F2F2"/>
            <w:tcMar>
              <w:top w:w="100" w:type="dxa"/>
              <w:left w:w="120" w:type="dxa"/>
              <w:bottom w:w="100" w:type="dxa"/>
              <w:right w:w="120" w:type="dxa"/>
            </w:tcMar>
          </w:tcPr>
          <w:p w14:paraId="5339CD3D" w14:textId="77777777" w:rsidR="00EC7E31" w:rsidRDefault="00000000">
            <w:r>
              <w:rPr>
                <w:color w:val="262626"/>
              </w:rPr>
              <w:t>$429,653</w:t>
            </w:r>
          </w:p>
        </w:tc>
        <w:tc>
          <w:tcPr>
            <w:tcW w:w="3360" w:type="dxa"/>
            <w:shd w:val="clear" w:color="auto" w:fill="F2F2F2"/>
            <w:tcMar>
              <w:top w:w="100" w:type="dxa"/>
              <w:left w:w="120" w:type="dxa"/>
              <w:bottom w:w="100" w:type="dxa"/>
              <w:right w:w="120" w:type="dxa"/>
            </w:tcMar>
          </w:tcPr>
          <w:p w14:paraId="6B83921F" w14:textId="77777777" w:rsidR="00EC7E31" w:rsidRDefault="00000000">
            <w:r>
              <w:rPr>
                <w:color w:val="262626"/>
              </w:rPr>
              <w:t>$60,299</w:t>
            </w:r>
          </w:p>
        </w:tc>
      </w:tr>
    </w:tbl>
    <w:p w14:paraId="0779B84C" w14:textId="77777777" w:rsidR="00EC7E31" w:rsidRDefault="00EC7E31">
      <w:pPr>
        <w:spacing w:before="200"/>
      </w:pPr>
    </w:p>
    <w:p w14:paraId="639FF800" w14:textId="77777777" w:rsidR="00EC7E31" w:rsidRDefault="00000000">
      <w:pPr>
        <w:spacing w:after="160" w:line="276" w:lineRule="auto"/>
      </w:pPr>
      <w:r>
        <w:rPr>
          <w:b/>
          <w:bCs/>
          <w:color w:val="262626"/>
          <w:sz w:val="22"/>
          <w:szCs w:val="22"/>
        </w:rPr>
        <w:t>Category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EC7E31" w14:paraId="619C7691" w14:textId="77777777">
        <w:tblPrEx>
          <w:tblCellMar>
            <w:top w:w="0" w:type="dxa"/>
            <w:bottom w:w="0" w:type="dxa"/>
          </w:tblCellMar>
        </w:tblPrEx>
        <w:tc>
          <w:tcPr>
            <w:tcW w:w="3360" w:type="dxa"/>
            <w:shd w:val="clear" w:color="auto" w:fill="2E75B6"/>
            <w:tcMar>
              <w:top w:w="100" w:type="dxa"/>
              <w:left w:w="120" w:type="dxa"/>
              <w:bottom w:w="100" w:type="dxa"/>
              <w:right w:w="120" w:type="dxa"/>
            </w:tcMar>
          </w:tcPr>
          <w:p w14:paraId="0AFA0147" w14:textId="77777777" w:rsidR="00EC7E31" w:rsidRDefault="00000000">
            <w:r>
              <w:rPr>
                <w:b/>
                <w:bCs/>
                <w:color w:val="FFFFFF"/>
              </w:rPr>
              <w:t>Category</w:t>
            </w:r>
          </w:p>
        </w:tc>
        <w:tc>
          <w:tcPr>
            <w:tcW w:w="3360" w:type="dxa"/>
            <w:shd w:val="clear" w:color="auto" w:fill="2E75B6"/>
            <w:tcMar>
              <w:top w:w="100" w:type="dxa"/>
              <w:left w:w="120" w:type="dxa"/>
              <w:bottom w:w="100" w:type="dxa"/>
              <w:right w:w="120" w:type="dxa"/>
            </w:tcMar>
          </w:tcPr>
          <w:p w14:paraId="340FBC23" w14:textId="77777777" w:rsidR="00EC7E31" w:rsidRDefault="00000000">
            <w:r>
              <w:rPr>
                <w:b/>
                <w:bCs/>
                <w:color w:val="FFFFFF"/>
              </w:rPr>
              <w:t>Total Sales</w:t>
            </w:r>
          </w:p>
        </w:tc>
        <w:tc>
          <w:tcPr>
            <w:tcW w:w="3360" w:type="dxa"/>
            <w:shd w:val="clear" w:color="auto" w:fill="2E75B6"/>
            <w:tcMar>
              <w:top w:w="100" w:type="dxa"/>
              <w:left w:w="120" w:type="dxa"/>
              <w:bottom w:w="100" w:type="dxa"/>
              <w:right w:w="120" w:type="dxa"/>
            </w:tcMar>
          </w:tcPr>
          <w:p w14:paraId="5AB15F28" w14:textId="77777777" w:rsidR="00EC7E31" w:rsidRDefault="00000000">
            <w:r>
              <w:rPr>
                <w:b/>
                <w:bCs/>
                <w:color w:val="FFFFFF"/>
              </w:rPr>
              <w:t>Total Profit</w:t>
            </w:r>
          </w:p>
        </w:tc>
      </w:tr>
      <w:tr w:rsidR="00EC7E31" w14:paraId="232F8334" w14:textId="77777777">
        <w:tblPrEx>
          <w:tblCellMar>
            <w:top w:w="0" w:type="dxa"/>
            <w:bottom w:w="0" w:type="dxa"/>
          </w:tblCellMar>
        </w:tblPrEx>
        <w:tc>
          <w:tcPr>
            <w:tcW w:w="3360" w:type="dxa"/>
            <w:shd w:val="clear" w:color="auto" w:fill="F2F2F2"/>
            <w:tcMar>
              <w:top w:w="100" w:type="dxa"/>
              <w:left w:w="120" w:type="dxa"/>
              <w:bottom w:w="100" w:type="dxa"/>
              <w:right w:w="120" w:type="dxa"/>
            </w:tcMar>
          </w:tcPr>
          <w:p w14:paraId="4A7D8E3D" w14:textId="77777777" w:rsidR="00EC7E31" w:rsidRDefault="00000000">
            <w:r>
              <w:rPr>
                <w:color w:val="262626"/>
              </w:rPr>
              <w:t>Technology</w:t>
            </w:r>
          </w:p>
        </w:tc>
        <w:tc>
          <w:tcPr>
            <w:tcW w:w="3360" w:type="dxa"/>
            <w:shd w:val="clear" w:color="auto" w:fill="F2F2F2"/>
            <w:tcMar>
              <w:top w:w="100" w:type="dxa"/>
              <w:left w:w="120" w:type="dxa"/>
              <w:bottom w:w="100" w:type="dxa"/>
              <w:right w:w="120" w:type="dxa"/>
            </w:tcMar>
          </w:tcPr>
          <w:p w14:paraId="4DC693C6" w14:textId="77777777" w:rsidR="00EC7E31" w:rsidRDefault="00000000">
            <w:r>
              <w:rPr>
                <w:color w:val="262626"/>
              </w:rPr>
              <w:t>$836,154</w:t>
            </w:r>
          </w:p>
        </w:tc>
        <w:tc>
          <w:tcPr>
            <w:tcW w:w="3360" w:type="dxa"/>
            <w:shd w:val="clear" w:color="auto" w:fill="F2F2F2"/>
            <w:tcMar>
              <w:top w:w="100" w:type="dxa"/>
              <w:left w:w="120" w:type="dxa"/>
              <w:bottom w:w="100" w:type="dxa"/>
              <w:right w:w="120" w:type="dxa"/>
            </w:tcMar>
          </w:tcPr>
          <w:p w14:paraId="561FF60F" w14:textId="77777777" w:rsidR="00EC7E31" w:rsidRDefault="00000000">
            <w:r>
              <w:rPr>
                <w:color w:val="262626"/>
              </w:rPr>
              <w:t>$145,455</w:t>
            </w:r>
          </w:p>
        </w:tc>
      </w:tr>
      <w:tr w:rsidR="00EC7E31" w14:paraId="0F393BDC" w14:textId="77777777">
        <w:tblPrEx>
          <w:tblCellMar>
            <w:top w:w="0" w:type="dxa"/>
            <w:bottom w:w="0" w:type="dxa"/>
          </w:tblCellMar>
        </w:tblPrEx>
        <w:tc>
          <w:tcPr>
            <w:tcW w:w="3360" w:type="dxa"/>
            <w:shd w:val="clear" w:color="auto" w:fill="F2F2F2"/>
            <w:tcMar>
              <w:top w:w="100" w:type="dxa"/>
              <w:left w:w="120" w:type="dxa"/>
              <w:bottom w:w="100" w:type="dxa"/>
              <w:right w:w="120" w:type="dxa"/>
            </w:tcMar>
          </w:tcPr>
          <w:p w14:paraId="70C92EFD" w14:textId="77777777" w:rsidR="00EC7E31" w:rsidRDefault="00000000">
            <w:r>
              <w:rPr>
                <w:color w:val="262626"/>
              </w:rPr>
              <w:t>Office Supplies</w:t>
            </w:r>
          </w:p>
        </w:tc>
        <w:tc>
          <w:tcPr>
            <w:tcW w:w="3360" w:type="dxa"/>
            <w:shd w:val="clear" w:color="auto" w:fill="F2F2F2"/>
            <w:tcMar>
              <w:top w:w="100" w:type="dxa"/>
              <w:left w:w="120" w:type="dxa"/>
              <w:bottom w:w="100" w:type="dxa"/>
              <w:right w:w="120" w:type="dxa"/>
            </w:tcMar>
          </w:tcPr>
          <w:p w14:paraId="711C9C97" w14:textId="77777777" w:rsidR="00EC7E31" w:rsidRDefault="00000000">
            <w:r>
              <w:rPr>
                <w:color w:val="262626"/>
              </w:rPr>
              <w:t>$719,047</w:t>
            </w:r>
          </w:p>
        </w:tc>
        <w:tc>
          <w:tcPr>
            <w:tcW w:w="3360" w:type="dxa"/>
            <w:shd w:val="clear" w:color="auto" w:fill="F2F2F2"/>
            <w:tcMar>
              <w:top w:w="100" w:type="dxa"/>
              <w:left w:w="120" w:type="dxa"/>
              <w:bottom w:w="100" w:type="dxa"/>
              <w:right w:w="120" w:type="dxa"/>
            </w:tcMar>
          </w:tcPr>
          <w:p w14:paraId="71B03048" w14:textId="77777777" w:rsidR="00EC7E31" w:rsidRDefault="00000000">
            <w:r>
              <w:rPr>
                <w:color w:val="262626"/>
              </w:rPr>
              <w:t>$122,491</w:t>
            </w:r>
          </w:p>
        </w:tc>
      </w:tr>
      <w:tr w:rsidR="00EC7E31" w14:paraId="35E51B77" w14:textId="77777777">
        <w:tblPrEx>
          <w:tblCellMar>
            <w:top w:w="0" w:type="dxa"/>
            <w:bottom w:w="0" w:type="dxa"/>
          </w:tblCellMar>
        </w:tblPrEx>
        <w:tc>
          <w:tcPr>
            <w:tcW w:w="3360" w:type="dxa"/>
            <w:shd w:val="clear" w:color="auto" w:fill="F2F2F2"/>
            <w:tcMar>
              <w:top w:w="100" w:type="dxa"/>
              <w:left w:w="120" w:type="dxa"/>
              <w:bottom w:w="100" w:type="dxa"/>
              <w:right w:w="120" w:type="dxa"/>
            </w:tcMar>
          </w:tcPr>
          <w:p w14:paraId="21BA2A96" w14:textId="77777777" w:rsidR="00EC7E31" w:rsidRDefault="00000000">
            <w:r>
              <w:rPr>
                <w:color w:val="262626"/>
              </w:rPr>
              <w:t>Furniture</w:t>
            </w:r>
          </w:p>
        </w:tc>
        <w:tc>
          <w:tcPr>
            <w:tcW w:w="3360" w:type="dxa"/>
            <w:shd w:val="clear" w:color="auto" w:fill="F2F2F2"/>
            <w:tcMar>
              <w:top w:w="100" w:type="dxa"/>
              <w:left w:w="120" w:type="dxa"/>
              <w:bottom w:w="100" w:type="dxa"/>
              <w:right w:w="120" w:type="dxa"/>
            </w:tcMar>
          </w:tcPr>
          <w:p w14:paraId="7E0070CA" w14:textId="77777777" w:rsidR="00EC7E31" w:rsidRDefault="00000000">
            <w:r>
              <w:rPr>
                <w:color w:val="262626"/>
              </w:rPr>
              <w:t>$741,999</w:t>
            </w:r>
          </w:p>
        </w:tc>
        <w:tc>
          <w:tcPr>
            <w:tcW w:w="3360" w:type="dxa"/>
            <w:shd w:val="clear" w:color="auto" w:fill="F2F2F2"/>
            <w:tcMar>
              <w:top w:w="100" w:type="dxa"/>
              <w:left w:w="120" w:type="dxa"/>
              <w:bottom w:w="100" w:type="dxa"/>
              <w:right w:w="120" w:type="dxa"/>
            </w:tcMar>
          </w:tcPr>
          <w:p w14:paraId="71F3ED57" w14:textId="77777777" w:rsidR="00EC7E31" w:rsidRDefault="00000000">
            <w:r>
              <w:rPr>
                <w:color w:val="262626"/>
              </w:rPr>
              <w:t>$18,451</w:t>
            </w:r>
          </w:p>
        </w:tc>
      </w:tr>
    </w:tbl>
    <w:p w14:paraId="315B7D9F" w14:textId="77777777" w:rsidR="00EC7E31" w:rsidRDefault="00EC7E31">
      <w:pPr>
        <w:spacing w:before="200"/>
      </w:pPr>
    </w:p>
    <w:p w14:paraId="1DEF0AFD" w14:textId="77777777" w:rsidR="00EC7E31" w:rsidRDefault="00000000">
      <w:pPr>
        <w:pStyle w:val="Heading1"/>
        <w:spacing w:before="320" w:after="160"/>
      </w:pPr>
      <w:r>
        <w:rPr>
          <w:b/>
          <w:bCs/>
          <w:color w:val="1F3864"/>
        </w:rPr>
        <w:lastRenderedPageBreak/>
        <w:t>Key Business Insights</w:t>
      </w:r>
    </w:p>
    <w:p w14:paraId="768557A9" w14:textId="77777777" w:rsidR="00EC7E31" w:rsidRDefault="00000000">
      <w:pPr>
        <w:pStyle w:val="ListParagraph"/>
        <w:numPr>
          <w:ilvl w:val="0"/>
          <w:numId w:val="2"/>
        </w:numPr>
        <w:spacing w:after="120" w:line="276" w:lineRule="auto"/>
      </w:pPr>
      <w:r>
        <w:rPr>
          <w:b/>
          <w:bCs/>
          <w:color w:val="262626"/>
          <w:sz w:val="22"/>
          <w:szCs w:val="22"/>
        </w:rPr>
        <w:t xml:space="preserve">The West region drives disproportionate profit. </w:t>
      </w:r>
      <w:r>
        <w:rPr>
          <w:color w:val="262626"/>
          <w:sz w:val="22"/>
          <w:szCs w:val="22"/>
        </w:rPr>
        <w:t>Sales generate ~$725K with ~$108K profit — the strongest sales-to-profit conversion of any region. Central posts similar sales scale to South but converts far less of it to profit, pointing to a regional efficiency gap.</w:t>
      </w:r>
    </w:p>
    <w:p w14:paraId="7480E0BB" w14:textId="77777777" w:rsidR="00EC7E31" w:rsidRDefault="00000000">
      <w:pPr>
        <w:pStyle w:val="ListParagraph"/>
        <w:numPr>
          <w:ilvl w:val="0"/>
          <w:numId w:val="2"/>
        </w:numPr>
        <w:spacing w:after="120" w:line="276" w:lineRule="auto"/>
      </w:pPr>
      <w:r>
        <w:rPr>
          <w:b/>
          <w:bCs/>
          <w:color w:val="262626"/>
          <w:sz w:val="22"/>
          <w:szCs w:val="22"/>
        </w:rPr>
        <w:t xml:space="preserve">Furniture is a sales-heavy, profit-light category. </w:t>
      </w:r>
      <w:r>
        <w:rPr>
          <w:color w:val="262626"/>
          <w:sz w:val="22"/>
          <w:szCs w:val="22"/>
        </w:rPr>
        <w:t>Furniture brings in nearly as much revenue as Technology (~$742K vs ~$836K) but converts only a fraction to profit (~$18K vs ~$145K) — roughly a 2.5% margin versus Technology's ~17%.</w:t>
      </w:r>
    </w:p>
    <w:p w14:paraId="0F3A6D55" w14:textId="77777777" w:rsidR="00EC7E31" w:rsidRDefault="00000000">
      <w:pPr>
        <w:pStyle w:val="ListParagraph"/>
        <w:numPr>
          <w:ilvl w:val="0"/>
          <w:numId w:val="2"/>
        </w:numPr>
        <w:spacing w:after="120" w:line="276" w:lineRule="auto"/>
      </w:pPr>
      <w:r>
        <w:rPr>
          <w:b/>
          <w:bCs/>
          <w:color w:val="262626"/>
          <w:sz w:val="22"/>
          <w:szCs w:val="22"/>
        </w:rPr>
        <w:t xml:space="preserve">Consumer segment is the revenue backbone. </w:t>
      </w:r>
      <w:r>
        <w:rPr>
          <w:color w:val="262626"/>
          <w:sz w:val="22"/>
          <w:szCs w:val="22"/>
        </w:rPr>
        <w:t>At ~$1.16M in sales, the Consumer segment alone accounts for more than half of total company revenue — more than Corporate and Home Office combined.</w:t>
      </w:r>
    </w:p>
    <w:p w14:paraId="4F81120C" w14:textId="77777777" w:rsidR="00EC7E31" w:rsidRDefault="00000000">
      <w:pPr>
        <w:pStyle w:val="ListParagraph"/>
        <w:numPr>
          <w:ilvl w:val="0"/>
          <w:numId w:val="2"/>
        </w:numPr>
        <w:spacing w:after="120" w:line="276" w:lineRule="auto"/>
      </w:pPr>
      <w:r>
        <w:rPr>
          <w:b/>
          <w:bCs/>
          <w:color w:val="262626"/>
          <w:sz w:val="22"/>
          <w:szCs w:val="22"/>
        </w:rPr>
        <w:t xml:space="preserve">A small number of products carry most of the profit. </w:t>
      </w:r>
      <w:r>
        <w:rPr>
          <w:color w:val="262626"/>
          <w:sz w:val="22"/>
          <w:szCs w:val="22"/>
        </w:rPr>
        <w:t xml:space="preserve">The Canon </w:t>
      </w:r>
      <w:proofErr w:type="spellStart"/>
      <w:r>
        <w:rPr>
          <w:color w:val="262626"/>
          <w:sz w:val="22"/>
          <w:szCs w:val="22"/>
        </w:rPr>
        <w:t>imageCLASS</w:t>
      </w:r>
      <w:proofErr w:type="spellEnd"/>
      <w:r>
        <w:rPr>
          <w:color w:val="262626"/>
          <w:sz w:val="22"/>
          <w:szCs w:val="22"/>
        </w:rPr>
        <w:t xml:space="preserve"> 2200 Advanced Copier alone contributes roughly $25K in profit, multiples ahead of the next-best product — profit is concentrated rather than evenly spread across the catalog.</w:t>
      </w:r>
    </w:p>
    <w:p w14:paraId="259E2ABB" w14:textId="77777777" w:rsidR="00EC7E31" w:rsidRDefault="00000000">
      <w:pPr>
        <w:pStyle w:val="ListParagraph"/>
        <w:numPr>
          <w:ilvl w:val="0"/>
          <w:numId w:val="2"/>
        </w:numPr>
        <w:spacing w:after="120" w:line="276" w:lineRule="auto"/>
      </w:pPr>
      <w:r>
        <w:rPr>
          <w:b/>
          <w:bCs/>
          <w:color w:val="262626"/>
          <w:sz w:val="22"/>
          <w:szCs w:val="22"/>
        </w:rPr>
        <w:t xml:space="preserve">Sales and profit are strongly seasonal. </w:t>
      </w:r>
      <w:r>
        <w:rPr>
          <w:color w:val="262626"/>
          <w:sz w:val="22"/>
          <w:szCs w:val="22"/>
        </w:rPr>
        <w:t>Monthly trends show a clear ramp into Q4, peaking in November and December after a comparatively flat first half of the year — a predictable seasonal pattern rather than steady demand.</w:t>
      </w:r>
    </w:p>
    <w:p w14:paraId="3FDA0FA4" w14:textId="77777777" w:rsidR="00EC7E31" w:rsidRDefault="00000000">
      <w:pPr>
        <w:pStyle w:val="Heading1"/>
        <w:spacing w:before="320" w:after="160"/>
      </w:pPr>
      <w:r>
        <w:rPr>
          <w:b/>
          <w:bCs/>
          <w:color w:val="1F3864"/>
        </w:rPr>
        <w:t>Business Risks</w:t>
      </w:r>
    </w:p>
    <w:p w14:paraId="2B96D9E6" w14:textId="77777777" w:rsidR="00EC7E31" w:rsidRDefault="00000000">
      <w:pPr>
        <w:pStyle w:val="ListParagraph"/>
        <w:numPr>
          <w:ilvl w:val="0"/>
          <w:numId w:val="2"/>
        </w:numPr>
        <w:spacing w:after="120" w:line="276" w:lineRule="auto"/>
      </w:pPr>
      <w:r>
        <w:rPr>
          <w:b/>
          <w:bCs/>
          <w:color w:val="262626"/>
          <w:sz w:val="22"/>
          <w:szCs w:val="22"/>
        </w:rPr>
        <w:t xml:space="preserve">Margin erosion in Furniture. </w:t>
      </w:r>
      <w:r>
        <w:rPr>
          <w:color w:val="262626"/>
          <w:sz w:val="22"/>
          <w:szCs w:val="22"/>
        </w:rPr>
        <w:t>Furniture sales nearly match Technology but profit trails far behind; continued investment without addressing pricing or discounting ties up capital for minimal return.</w:t>
      </w:r>
    </w:p>
    <w:p w14:paraId="553225CB" w14:textId="77777777" w:rsidR="00EC7E31" w:rsidRDefault="00000000">
      <w:pPr>
        <w:pStyle w:val="ListParagraph"/>
        <w:numPr>
          <w:ilvl w:val="0"/>
          <w:numId w:val="2"/>
        </w:numPr>
        <w:spacing w:after="120" w:line="276" w:lineRule="auto"/>
      </w:pPr>
      <w:r>
        <w:rPr>
          <w:b/>
          <w:bCs/>
          <w:color w:val="262626"/>
          <w:sz w:val="22"/>
          <w:szCs w:val="22"/>
        </w:rPr>
        <w:t xml:space="preserve">Regional inefficiency in Central. </w:t>
      </w:r>
      <w:r>
        <w:rPr>
          <w:color w:val="262626"/>
          <w:sz w:val="22"/>
          <w:szCs w:val="22"/>
        </w:rPr>
        <w:t>Weak profit conversion relative to sales volume suggests higher costs, deeper discounting, or logistics inefficiencies that could compound as the business scales.</w:t>
      </w:r>
    </w:p>
    <w:p w14:paraId="7FE0C365" w14:textId="77777777" w:rsidR="00EC7E31" w:rsidRDefault="00000000">
      <w:pPr>
        <w:pStyle w:val="ListParagraph"/>
        <w:numPr>
          <w:ilvl w:val="0"/>
          <w:numId w:val="2"/>
        </w:numPr>
        <w:spacing w:after="120" w:line="276" w:lineRule="auto"/>
      </w:pPr>
      <w:r>
        <w:rPr>
          <w:b/>
          <w:bCs/>
          <w:color w:val="262626"/>
          <w:sz w:val="22"/>
          <w:szCs w:val="22"/>
        </w:rPr>
        <w:t xml:space="preserve">Revenue concentration risk. </w:t>
      </w:r>
      <w:r>
        <w:rPr>
          <w:color w:val="262626"/>
          <w:sz w:val="22"/>
          <w:szCs w:val="22"/>
        </w:rPr>
        <w:t>Heavy reliance on the Consumer segment and a handful of top products leaves limited cushioning if demand shifts in either.</w:t>
      </w:r>
    </w:p>
    <w:p w14:paraId="6CB4F40C" w14:textId="77777777" w:rsidR="00EC7E31" w:rsidRDefault="00000000">
      <w:pPr>
        <w:pStyle w:val="Heading1"/>
        <w:spacing w:before="320" w:after="160"/>
      </w:pPr>
      <w:r>
        <w:rPr>
          <w:b/>
          <w:bCs/>
          <w:color w:val="1F3864"/>
        </w:rPr>
        <w:t>Business Opportunities</w:t>
      </w:r>
    </w:p>
    <w:p w14:paraId="75036206" w14:textId="77777777" w:rsidR="00EC7E31" w:rsidRDefault="00000000">
      <w:pPr>
        <w:pStyle w:val="ListParagraph"/>
        <w:numPr>
          <w:ilvl w:val="0"/>
          <w:numId w:val="2"/>
        </w:numPr>
        <w:spacing w:after="120" w:line="276" w:lineRule="auto"/>
      </w:pPr>
      <w:r>
        <w:rPr>
          <w:b/>
          <w:bCs/>
          <w:color w:val="262626"/>
          <w:sz w:val="22"/>
          <w:szCs w:val="22"/>
        </w:rPr>
        <w:t xml:space="preserve">Scale what's working in the West. </w:t>
      </w:r>
      <w:r>
        <w:rPr>
          <w:color w:val="262626"/>
          <w:sz w:val="22"/>
          <w:szCs w:val="22"/>
        </w:rPr>
        <w:t>The West region's high sales-to-profit conversion suggests a pricing, product mix, or operational playbook that could be studied and replicated in Central and South.</w:t>
      </w:r>
    </w:p>
    <w:p w14:paraId="1DD46F27" w14:textId="77777777" w:rsidR="00EC7E31" w:rsidRDefault="00000000">
      <w:pPr>
        <w:pStyle w:val="ListParagraph"/>
        <w:numPr>
          <w:ilvl w:val="0"/>
          <w:numId w:val="2"/>
        </w:numPr>
        <w:spacing w:after="120" w:line="276" w:lineRule="auto"/>
      </w:pPr>
      <w:r>
        <w:rPr>
          <w:b/>
          <w:bCs/>
          <w:color w:val="262626"/>
          <w:sz w:val="22"/>
          <w:szCs w:val="22"/>
        </w:rPr>
        <w:t xml:space="preserve">Grow underrepresented segments. </w:t>
      </w:r>
      <w:r>
        <w:rPr>
          <w:color w:val="262626"/>
          <w:sz w:val="22"/>
          <w:szCs w:val="22"/>
        </w:rPr>
        <w:t>Corporate and especially Home Office have far more sales headroom than Consumer — targeted campaigns could diversify revenue without cannibalizing the core segment.</w:t>
      </w:r>
    </w:p>
    <w:p w14:paraId="79B8DF17" w14:textId="77777777" w:rsidR="00EC7E31" w:rsidRDefault="00000000">
      <w:pPr>
        <w:pStyle w:val="ListParagraph"/>
        <w:numPr>
          <w:ilvl w:val="0"/>
          <w:numId w:val="2"/>
        </w:numPr>
        <w:spacing w:after="120" w:line="276" w:lineRule="auto"/>
      </w:pPr>
      <w:r>
        <w:rPr>
          <w:b/>
          <w:bCs/>
          <w:color w:val="262626"/>
          <w:sz w:val="22"/>
          <w:szCs w:val="22"/>
        </w:rPr>
        <w:t xml:space="preserve">Plan around the Q4 seasonal peak. </w:t>
      </w:r>
      <w:r>
        <w:rPr>
          <w:color w:val="262626"/>
          <w:sz w:val="22"/>
          <w:szCs w:val="22"/>
        </w:rPr>
        <w:t>Since demand reliably surges in November and December, there is a clear opportunity to optimize inventory, staffing, and promotions ahead of that window.</w:t>
      </w:r>
    </w:p>
    <w:p w14:paraId="445370D6" w14:textId="77777777" w:rsidR="00EC7E31" w:rsidRDefault="00000000">
      <w:pPr>
        <w:pStyle w:val="Heading1"/>
        <w:spacing w:before="320" w:after="160"/>
      </w:pPr>
      <w:r>
        <w:rPr>
          <w:b/>
          <w:bCs/>
          <w:color w:val="1F3864"/>
        </w:rPr>
        <w:t>Recommendations</w:t>
      </w:r>
    </w:p>
    <w:p w14:paraId="501CA8C5" w14:textId="77777777" w:rsidR="00EC7E31" w:rsidRDefault="00000000">
      <w:pPr>
        <w:pStyle w:val="ListParagraph"/>
        <w:numPr>
          <w:ilvl w:val="0"/>
          <w:numId w:val="2"/>
        </w:numPr>
        <w:spacing w:after="120" w:line="276" w:lineRule="auto"/>
      </w:pPr>
      <w:r>
        <w:rPr>
          <w:b/>
          <w:bCs/>
          <w:color w:val="262626"/>
          <w:sz w:val="22"/>
          <w:szCs w:val="22"/>
        </w:rPr>
        <w:t xml:space="preserve">1. Review Furniture pricing and discount policy. </w:t>
      </w:r>
      <w:r>
        <w:rPr>
          <w:color w:val="262626"/>
          <w:sz w:val="22"/>
          <w:szCs w:val="22"/>
        </w:rPr>
        <w:t>Audit discount depth on Furniture sub-categories — especially Tables and Bookcases, which post outright losses — and consider renegotiating supplier costs or repositioning pricing.</w:t>
      </w:r>
    </w:p>
    <w:p w14:paraId="76835E09" w14:textId="77777777" w:rsidR="00EC7E31" w:rsidRDefault="00000000">
      <w:pPr>
        <w:pStyle w:val="ListParagraph"/>
        <w:numPr>
          <w:ilvl w:val="0"/>
          <w:numId w:val="2"/>
        </w:numPr>
        <w:spacing w:after="120" w:line="276" w:lineRule="auto"/>
      </w:pPr>
      <w:r>
        <w:rPr>
          <w:b/>
          <w:bCs/>
          <w:color w:val="262626"/>
          <w:sz w:val="22"/>
          <w:szCs w:val="22"/>
        </w:rPr>
        <w:t xml:space="preserve">2. Investigate Central region's cost structure. </w:t>
      </w:r>
      <w:r>
        <w:rPr>
          <w:color w:val="262626"/>
          <w:sz w:val="22"/>
          <w:szCs w:val="22"/>
        </w:rPr>
        <w:t>Compare Central's discounting, shipping mode, and supplier terms against West's to identify what is compressing margin, then apply corrective pricing or logistics changes.</w:t>
      </w:r>
    </w:p>
    <w:p w14:paraId="28BB829F" w14:textId="77777777" w:rsidR="00EC7E31" w:rsidRDefault="00000000">
      <w:pPr>
        <w:pStyle w:val="ListParagraph"/>
        <w:numPr>
          <w:ilvl w:val="0"/>
          <w:numId w:val="2"/>
        </w:numPr>
        <w:spacing w:after="120" w:line="276" w:lineRule="auto"/>
      </w:pPr>
      <w:r>
        <w:rPr>
          <w:b/>
          <w:bCs/>
          <w:color w:val="262626"/>
          <w:sz w:val="22"/>
          <w:szCs w:val="22"/>
        </w:rPr>
        <w:lastRenderedPageBreak/>
        <w:t xml:space="preserve">3. Double down on Technology. </w:t>
      </w:r>
      <w:r>
        <w:rPr>
          <w:color w:val="262626"/>
          <w:sz w:val="22"/>
          <w:szCs w:val="22"/>
        </w:rPr>
        <w:t>Increase marketing spend and catalog prominence for Technology products to grow an already high-margin line.</w:t>
      </w:r>
    </w:p>
    <w:p w14:paraId="3C8ED146" w14:textId="77777777" w:rsidR="00EC7E31" w:rsidRDefault="00000000">
      <w:pPr>
        <w:pStyle w:val="ListParagraph"/>
        <w:numPr>
          <w:ilvl w:val="0"/>
          <w:numId w:val="2"/>
        </w:numPr>
        <w:spacing w:after="120" w:line="276" w:lineRule="auto"/>
      </w:pPr>
      <w:r>
        <w:rPr>
          <w:b/>
          <w:bCs/>
          <w:color w:val="262626"/>
          <w:sz w:val="22"/>
          <w:szCs w:val="22"/>
        </w:rPr>
        <w:t xml:space="preserve">4. Launch targeted campaigns for Corporate and Home Office. </w:t>
      </w:r>
      <w:r>
        <w:rPr>
          <w:color w:val="262626"/>
          <w:sz w:val="22"/>
          <w:szCs w:val="22"/>
        </w:rPr>
        <w:t>Use targeted CRM or email marketing aimed at Corporate and Home Office to close the revenue gap with Consumer and reduce reliance on a single customer type.</w:t>
      </w:r>
    </w:p>
    <w:p w14:paraId="4DFF3728" w14:textId="77777777" w:rsidR="00EC7E31" w:rsidRDefault="00000000">
      <w:pPr>
        <w:pStyle w:val="ListParagraph"/>
        <w:numPr>
          <w:ilvl w:val="0"/>
          <w:numId w:val="2"/>
        </w:numPr>
        <w:spacing w:after="120" w:line="276" w:lineRule="auto"/>
      </w:pPr>
      <w:r>
        <w:rPr>
          <w:b/>
          <w:bCs/>
          <w:color w:val="262626"/>
          <w:sz w:val="22"/>
          <w:szCs w:val="22"/>
        </w:rPr>
        <w:t xml:space="preserve">5. Build a Q4 readiness plan. </w:t>
      </w:r>
      <w:r>
        <w:rPr>
          <w:color w:val="262626"/>
          <w:sz w:val="22"/>
          <w:szCs w:val="22"/>
        </w:rPr>
        <w:t>Increase inventory and staffing ahead of the November–December surge, and shift some marketing budget earlier in the year to smooth out the flatter January–August period.</w:t>
      </w:r>
    </w:p>
    <w:p w14:paraId="52F3D35F" w14:textId="77777777" w:rsidR="00EC7E31" w:rsidRDefault="00000000">
      <w:pPr>
        <w:pStyle w:val="Heading1"/>
        <w:spacing w:before="320" w:after="160"/>
      </w:pPr>
      <w:r>
        <w:rPr>
          <w:b/>
          <w:bCs/>
          <w:color w:val="1F3864"/>
        </w:rPr>
        <w:t>Conclusion</w:t>
      </w:r>
    </w:p>
    <w:p w14:paraId="6F00B52E" w14:textId="77777777" w:rsidR="00EC7E31" w:rsidRDefault="00000000">
      <w:pPr>
        <w:spacing w:after="160" w:line="276" w:lineRule="auto"/>
      </w:pPr>
      <w:r>
        <w:rPr>
          <w:color w:val="262626"/>
          <w:sz w:val="22"/>
          <w:szCs w:val="22"/>
        </w:rPr>
        <w:t>The Superstore dashboard shows a business with healthy overall growth (sales up roughly 50% from 2014 to 2017) but uneven profitability across regions, categories, and products. Addressing the Furniture margin gap and Central's cost inefficiency, while scaling what already works in the West and in Technology, offers the clearest path to improving overall business performance without requiring new revenue streams.</w:t>
      </w:r>
    </w:p>
    <w:sectPr w:rsidR="00EC7E31">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63DB4" w14:textId="77777777" w:rsidR="00567439" w:rsidRDefault="00567439">
      <w:r>
        <w:separator/>
      </w:r>
    </w:p>
  </w:endnote>
  <w:endnote w:type="continuationSeparator" w:id="0">
    <w:p w14:paraId="6CC98F3A" w14:textId="77777777" w:rsidR="00567439" w:rsidRDefault="00567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91C8" w14:textId="77777777" w:rsidR="00EC7E3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038B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038B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15913" w14:textId="77777777" w:rsidR="00567439" w:rsidRDefault="00567439">
      <w:r>
        <w:separator/>
      </w:r>
    </w:p>
  </w:footnote>
  <w:footnote w:type="continuationSeparator" w:id="0">
    <w:p w14:paraId="1E010B7F" w14:textId="77777777" w:rsidR="00567439" w:rsidRDefault="00567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1975" w14:textId="77777777" w:rsidR="00EC7E31" w:rsidRDefault="00000000">
    <w:pPr>
      <w:pBdr>
        <w:bottom w:val="single" w:sz="6" w:space="4" w:color="2E75B6"/>
      </w:pBdr>
      <w:jc w:val="right"/>
    </w:pPr>
    <w:proofErr w:type="spellStart"/>
    <w:r>
      <w:rPr>
        <w:color w:val="595959"/>
        <w:sz w:val="16"/>
        <w:szCs w:val="16"/>
      </w:rPr>
      <w:t>AnalystLab</w:t>
    </w:r>
    <w:proofErr w:type="spellEnd"/>
    <w:r>
      <w:rPr>
        <w:color w:val="595959"/>
        <w:sz w:val="16"/>
        <w:szCs w:val="16"/>
      </w:rPr>
      <w:t xml:space="preserve"> Africa — Data Analytics Internship | Week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D273D"/>
    <w:multiLevelType w:val="hybridMultilevel"/>
    <w:tmpl w:val="162CE210"/>
    <w:lvl w:ilvl="0" w:tplc="2A4856FE">
      <w:start w:val="1"/>
      <w:numFmt w:val="bullet"/>
      <w:lvlText w:val="•"/>
      <w:lvlJc w:val="left"/>
      <w:pPr>
        <w:ind w:left="504" w:hanging="259"/>
      </w:pPr>
    </w:lvl>
    <w:lvl w:ilvl="1" w:tplc="B03C63EC">
      <w:numFmt w:val="decimal"/>
      <w:lvlText w:val=""/>
      <w:lvlJc w:val="left"/>
    </w:lvl>
    <w:lvl w:ilvl="2" w:tplc="DC24D40E">
      <w:numFmt w:val="decimal"/>
      <w:lvlText w:val=""/>
      <w:lvlJc w:val="left"/>
    </w:lvl>
    <w:lvl w:ilvl="3" w:tplc="DF345DB4">
      <w:numFmt w:val="decimal"/>
      <w:lvlText w:val=""/>
      <w:lvlJc w:val="left"/>
    </w:lvl>
    <w:lvl w:ilvl="4" w:tplc="5CBCEB7C">
      <w:numFmt w:val="decimal"/>
      <w:lvlText w:val=""/>
      <w:lvlJc w:val="left"/>
    </w:lvl>
    <w:lvl w:ilvl="5" w:tplc="872C13C0">
      <w:numFmt w:val="decimal"/>
      <w:lvlText w:val=""/>
      <w:lvlJc w:val="left"/>
    </w:lvl>
    <w:lvl w:ilvl="6" w:tplc="EBD62656">
      <w:numFmt w:val="decimal"/>
      <w:lvlText w:val=""/>
      <w:lvlJc w:val="left"/>
    </w:lvl>
    <w:lvl w:ilvl="7" w:tplc="F89E5818">
      <w:numFmt w:val="decimal"/>
      <w:lvlText w:val=""/>
      <w:lvlJc w:val="left"/>
    </w:lvl>
    <w:lvl w:ilvl="8" w:tplc="E1FE5A1C">
      <w:numFmt w:val="decimal"/>
      <w:lvlText w:val=""/>
      <w:lvlJc w:val="left"/>
    </w:lvl>
  </w:abstractNum>
  <w:abstractNum w:abstractNumId="1" w15:restartNumberingAfterBreak="0">
    <w:nsid w:val="6DF92C64"/>
    <w:multiLevelType w:val="hybridMultilevel"/>
    <w:tmpl w:val="7F02F978"/>
    <w:lvl w:ilvl="0" w:tplc="378C5048">
      <w:start w:val="1"/>
      <w:numFmt w:val="bullet"/>
      <w:lvlText w:val="●"/>
      <w:lvlJc w:val="left"/>
      <w:pPr>
        <w:ind w:left="720" w:hanging="360"/>
      </w:pPr>
    </w:lvl>
    <w:lvl w:ilvl="1" w:tplc="52C26FC2">
      <w:start w:val="1"/>
      <w:numFmt w:val="bullet"/>
      <w:lvlText w:val="○"/>
      <w:lvlJc w:val="left"/>
      <w:pPr>
        <w:ind w:left="1440" w:hanging="360"/>
      </w:pPr>
    </w:lvl>
    <w:lvl w:ilvl="2" w:tplc="D2C6995A">
      <w:start w:val="1"/>
      <w:numFmt w:val="bullet"/>
      <w:lvlText w:val="■"/>
      <w:lvlJc w:val="left"/>
      <w:pPr>
        <w:ind w:left="2160" w:hanging="360"/>
      </w:pPr>
    </w:lvl>
    <w:lvl w:ilvl="3" w:tplc="777C746E">
      <w:start w:val="1"/>
      <w:numFmt w:val="bullet"/>
      <w:lvlText w:val="●"/>
      <w:lvlJc w:val="left"/>
      <w:pPr>
        <w:ind w:left="2880" w:hanging="360"/>
      </w:pPr>
    </w:lvl>
    <w:lvl w:ilvl="4" w:tplc="25348000">
      <w:start w:val="1"/>
      <w:numFmt w:val="bullet"/>
      <w:lvlText w:val="○"/>
      <w:lvlJc w:val="left"/>
      <w:pPr>
        <w:ind w:left="3600" w:hanging="360"/>
      </w:pPr>
    </w:lvl>
    <w:lvl w:ilvl="5" w:tplc="09BCBC40">
      <w:start w:val="1"/>
      <w:numFmt w:val="bullet"/>
      <w:lvlText w:val="■"/>
      <w:lvlJc w:val="left"/>
      <w:pPr>
        <w:ind w:left="4320" w:hanging="360"/>
      </w:pPr>
    </w:lvl>
    <w:lvl w:ilvl="6" w:tplc="7864074C">
      <w:start w:val="1"/>
      <w:numFmt w:val="bullet"/>
      <w:lvlText w:val="●"/>
      <w:lvlJc w:val="left"/>
      <w:pPr>
        <w:ind w:left="5040" w:hanging="360"/>
      </w:pPr>
    </w:lvl>
    <w:lvl w:ilvl="7" w:tplc="2F1CC044">
      <w:start w:val="1"/>
      <w:numFmt w:val="bullet"/>
      <w:lvlText w:val="●"/>
      <w:lvlJc w:val="left"/>
      <w:pPr>
        <w:ind w:left="5760" w:hanging="360"/>
      </w:pPr>
    </w:lvl>
    <w:lvl w:ilvl="8" w:tplc="7DF473D8">
      <w:start w:val="1"/>
      <w:numFmt w:val="bullet"/>
      <w:lvlText w:val="●"/>
      <w:lvlJc w:val="left"/>
      <w:pPr>
        <w:ind w:left="6480" w:hanging="360"/>
      </w:pPr>
    </w:lvl>
  </w:abstractNum>
  <w:num w:numId="1" w16cid:durableId="1139226700">
    <w:abstractNumId w:val="1"/>
    <w:lvlOverride w:ilvl="0">
      <w:startOverride w:val="1"/>
    </w:lvlOverride>
  </w:num>
  <w:num w:numId="2" w16cid:durableId="421033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E31"/>
    <w:rsid w:val="00567439"/>
    <w:rsid w:val="00592C99"/>
    <w:rsid w:val="00EC7E31"/>
    <w:rsid w:val="00F0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2ADC7"/>
  <w15:docId w15:val="{BC797452-589E-4227-8EC0-B648DF34A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Zadok Aaron</cp:lastModifiedBy>
  <cp:revision>2</cp:revision>
  <dcterms:created xsi:type="dcterms:W3CDTF">2026-08-16T21:11:00Z</dcterms:created>
  <dcterms:modified xsi:type="dcterms:W3CDTF">2026-08-16T21:19:00Z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fdcc5081-d1e6-4326-a3ba-467508882968</vt:lpwstr>
  </property>
</Properties>
</file>