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https://www.canva.com/design/DAFLv9_46Ng/UnwLb8LqIveykjdNxFo2BA/view?utm_content=DAFLv9_46Ng&amp;utm_campaign=designshare&amp;utm_medium=link&amp;utm_source=publishsharelink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Color:</w:t>
        <w:br w:type="textWrapping"/>
        <w:t xml:space="preserve">#E1CA71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https://www.colorhexa.com/e1ca71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Fuentes: </w:t>
        <w:br w:type="textWrapping"/>
        <w:t xml:space="preserve">Cinzel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Montserrat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Montserrat Extra-Light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Montserrat Semi-Bold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Montserrat Classic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Antic Didone (El primer club que te da las herramientas para convertirte en un  EXPERTO en Criptomonedas)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Link web: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https://websites.godaddy.com/es-US/editor/889f0bc0-e84b-4125-8e36-228351425a50/61e91cb9-0d09-4237-b050-af83588fc4eb/settings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Lv9_46Ng/UnwLb8LqIveykjdNxFo2BA/view?utm_content=DAFLv9_46Ng&amp;utm_campaign=designshare&amp;utm_medium=link&amp;utm_source=publishsharelink" TargetMode="External"/><Relationship Id="rId7" Type="http://schemas.openxmlformats.org/officeDocument/2006/relationships/hyperlink" Target="https://websites.godaddy.com/es-US/editor/889f0bc0-e84b-4125-8e36-228351425a50/61e91cb9-0d09-4237-b050-af83588fc4eb/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