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6D5007">
      <w:pPr>
        <w:spacing w:line="240" w:lineRule="auto"/>
        <w:jc w:val="center"/>
        <w:rPr>
          <w:bCs/>
          <w:color w:val="000000" w:themeColor="text1"/>
          <w:sz w:val="32"/>
          <w:szCs w:val="32"/>
          <w:highlight w:val="yellow"/>
          <w:lang w:eastAsia="zh-CN"/>
          <w14:textFill>
            <w14:solidFill>
              <w14:schemeClr w14:val="tx1"/>
            </w14:solidFill>
          </w14:textFill>
        </w:rPr>
      </w:pPr>
      <w:r>
        <w:rPr>
          <w:bCs/>
          <w:color w:val="000000" w:themeColor="text1"/>
          <w:sz w:val="32"/>
          <w:szCs w:val="32"/>
          <w:highlight w:val="none"/>
          <w:lang w:eastAsia="zh-CN"/>
          <w14:textFill>
            <w14:solidFill>
              <w14:schemeClr w14:val="tx1"/>
            </w14:solidFill>
          </w14:textFill>
        </w:rPr>
        <w:t>Optimi</w:t>
      </w:r>
      <w:r>
        <w:rPr>
          <w:rFonts w:hint="eastAsia"/>
          <w:bCs/>
          <w:color w:val="000000" w:themeColor="text1"/>
          <w:sz w:val="32"/>
          <w:szCs w:val="32"/>
          <w:highlight w:val="none"/>
          <w:lang w:val="en-US" w:eastAsia="zh-CN"/>
          <w14:textFill>
            <w14:solidFill>
              <w14:schemeClr w14:val="tx1"/>
            </w14:solidFill>
          </w14:textFill>
        </w:rPr>
        <w:t>z</w:t>
      </w:r>
      <w:r>
        <w:rPr>
          <w:bCs/>
          <w:color w:val="000000" w:themeColor="text1"/>
          <w:sz w:val="32"/>
          <w:szCs w:val="32"/>
          <w:highlight w:val="none"/>
          <w:lang w:eastAsia="zh-CN"/>
          <w14:textFill>
            <w14:solidFill>
              <w14:schemeClr w14:val="tx1"/>
            </w14:solidFill>
          </w14:textFill>
        </w:rPr>
        <w:t>ing Fire Station Locations: Balancing Service Coverage and Accessibility in the London Borough of Hillingdon</w:t>
      </w:r>
    </w:p>
    <w:p w14:paraId="096D500F">
      <w:pPr>
        <w:spacing w:line="240" w:lineRule="auto"/>
        <w:rPr>
          <w:highlight w:val="yellow"/>
          <w:lang w:eastAsia="zh-CN"/>
        </w:rPr>
      </w:pPr>
    </w:p>
    <w:p w14:paraId="096D5016">
      <w:pPr>
        <w:spacing w:line="240" w:lineRule="auto"/>
        <w:rPr>
          <w:highlight w:val="yellow"/>
        </w:rPr>
      </w:pPr>
    </w:p>
    <w:p w14:paraId="096D5017">
      <w:pPr>
        <w:pStyle w:val="2"/>
        <w:bidi w:val="0"/>
        <w:spacing w:line="240" w:lineRule="auto"/>
        <w:rPr>
          <w:highlight w:val="none"/>
        </w:rPr>
      </w:pPr>
      <w:r>
        <w:rPr>
          <w:highlight w:val="none"/>
        </w:rPr>
        <w:t>Introduction</w:t>
      </w:r>
    </w:p>
    <w:p w14:paraId="096D5018">
      <w:pPr>
        <w:pStyle w:val="6"/>
        <w:spacing w:line="240" w:lineRule="auto"/>
        <w:rPr>
          <w:highlight w:val="yellow"/>
        </w:rPr>
      </w:pPr>
    </w:p>
    <w:p w14:paraId="096D5019">
      <w:pPr>
        <w:spacing w:line="240" w:lineRule="auto"/>
        <w:rPr>
          <w:strike/>
          <w:dstrike w:val="0"/>
          <w:highlight w:val="none"/>
          <w:lang w:val="en-US" w:eastAsia="zh-CN"/>
        </w:rPr>
      </w:pPr>
      <w:r>
        <w:rPr>
          <w:rFonts w:hint="eastAsia"/>
          <w:highlight w:val="none"/>
          <w:lang w:eastAsia="zh-CN"/>
        </w:rPr>
        <w:t>Fires can pose significant threats to human life and both the built and natural environments</w:t>
      </w:r>
      <w:r>
        <w:rPr>
          <w:rFonts w:hint="eastAsia"/>
          <w:highlight w:val="none"/>
          <w:lang w:val="en-US" w:eastAsia="zh-CN"/>
        </w:rPr>
        <w:t xml:space="preserve"> </w:t>
      </w:r>
      <w:r>
        <w:rPr>
          <w:highlight w:val="none"/>
          <w:lang w:eastAsia="zh-CN"/>
        </w:rPr>
        <w:fldChar w:fldCharType="begin"/>
      </w:r>
      <w:r>
        <w:rPr>
          <w:rFonts w:hint="eastAsia"/>
          <w:highlight w:val="none"/>
          <w:lang w:eastAsia="zh-CN"/>
        </w:rPr>
        <w:instrText xml:space="preserve"> ADDIN ZOTERO_ITEM CSL_CITATION {"citationID":"iVIIM1a7","properties":{"formattedCitation":"(Kodur, Kumar and Rafi, 2019)","plainCitation":"(Kodur, Kumar and Rafi, 2019)","noteIndex":0},"citationItems":[{"id":"p9WZ4uIC/X4zWMYSj","uris":["http://zotero.org/users/14687918/items/76X29LNR"],"itemData":{"id":226,"type":"article-journal","abstract":"The current fire protection measures in buildings do not account for all contemporary fire hazard issues, which has made fire safety a growing concern. Therefore, this paper aims to present a critical review of current fire protection measures and their applicability to address current challenges relating to fire hazards in buildings.,To overcome fire hazards in buildings, impact of fire hazards is also reviewed to set the context for fire protection measures. Based on the review, an integrated framework for mitigation of fire hazards is proposed. The proposed framework involves enhancement of fire safety in four key areas: fire protection features in buildings, regulation and enforcement, consumer awareness and technology and resources advancement. Detailed strategies on improving fire safety in buildings in these four key areas are presented, and future research and training needs are identified.,Current fire protection measures lead to an unquantified level of fire safety in buildings, provide minimal strategies to mitigate fire hazard and do not account for contemporary fire hazard issues. Implementing key measures that include reliable fire protection systems, proper regulation and enforcement of building code provisions, enhancement of public awareness and proper use of technology and resources is key to mitigating fire hazard in buildings. Major research and training required to improve fire safety in buildings include developing cost-effective fire suppression systems and rational fire design approaches, characterizing new materials and developing performance-based codes.,The proposed framework encompasses both prevention and management of fire hazard. To demonstrate the applicability of this framework in improving fire safety in buildings, major limitations of current fire protection measures are identified, and detailed strategies are provided to address these limitations using proposed fire safety framework.,Fire represents a severe hazard in both developing and developed countries and poses significant threat to life, structure, property and environment. The proposed framework has social implications as it addresses some of the current challenges relating to fire hazard in buildings and will enhance overall fire safety.,The novelty of proposed framework lies in encompassing both prevention and management of fire hazard. This is unlike current fire safety improvement strategies, which focus only on improving fire protection features in buildings (i.e. managing impact of fire hazard) using performance-based codes. To demonstrate the applicability of this framework in improving fire safety in buildings, major limitations of current fire protection measures are identified and detailed strategies are provided to address these limitations using proposed fire safety framework. Special emphasis is given to cost-effectiveness of proposed strategies, and research and training needs for further enhancing building fire safety are identified.","archive_location":"world","container-title":"PSU Research Review","DOI":"10.1108/PRR-12-2018-0033","ISSN":"2399-1747","issue":"1","language":"en","note":"publisher: Emerald Publishing Limited","page":"1-23","source":"www.emerald.com","title":"Fire hazard in buildings: review, assessment and strategies for improving fire safety","title-short":"Fire hazard in buildings","volume":"4","author":[{"family":"Kodur","given":"Venkatesh"},{"family":"Kumar","given":"Puneet"},{"family":"Rafi","given":"Muhammad Masood"}],"issued":{"date-parts":[["2019",9,25]]}}}],"schema":"https://github.com/citation-style-language/schema/raw/master/csl-citation.json"} </w:instrText>
      </w:r>
      <w:r>
        <w:rPr>
          <w:highlight w:val="none"/>
          <w:lang w:eastAsia="zh-CN"/>
        </w:rPr>
        <w:fldChar w:fldCharType="separate"/>
      </w:r>
      <w:r>
        <w:t>(Kodur, Kumar and Rafi, 2019)</w:t>
      </w:r>
      <w:r>
        <w:rPr>
          <w:highlight w:val="none"/>
          <w:lang w:eastAsia="zh-CN"/>
        </w:rPr>
        <w:fldChar w:fldCharType="end"/>
      </w:r>
      <w:r>
        <w:rPr>
          <w:highlight w:val="none"/>
          <w:lang w:eastAsia="zh-CN"/>
        </w:rPr>
        <w:t>.</w:t>
      </w:r>
      <w:r>
        <w:rPr>
          <w:rFonts w:hint="eastAsia"/>
          <w:highlight w:val="none"/>
          <w:lang w:eastAsia="zh-CN"/>
        </w:rPr>
        <w:t xml:space="preserve"> Minimi</w:t>
      </w:r>
      <w:r>
        <w:rPr>
          <w:rFonts w:hint="default"/>
          <w:highlight w:val="none"/>
          <w:lang w:val="en-US" w:eastAsia="zh-CN"/>
        </w:rPr>
        <w:t>z</w:t>
      </w:r>
      <w:r>
        <w:rPr>
          <w:rFonts w:hint="eastAsia"/>
          <w:highlight w:val="none"/>
          <w:lang w:eastAsia="zh-CN"/>
        </w:rPr>
        <w:t xml:space="preserve">ing the </w:t>
      </w:r>
      <w:r>
        <w:rPr>
          <w:rFonts w:hint="default"/>
          <w:highlight w:val="none"/>
          <w:lang w:val="en-US" w:eastAsia="zh-CN"/>
        </w:rPr>
        <w:t xml:space="preserve">adverse </w:t>
      </w:r>
      <w:r>
        <w:rPr>
          <w:rFonts w:hint="eastAsia"/>
          <w:highlight w:val="none"/>
          <w:lang w:eastAsia="zh-CN"/>
        </w:rPr>
        <w:t xml:space="preserve">impacts </w:t>
      </w:r>
      <w:r>
        <w:rPr>
          <w:rFonts w:hint="default"/>
          <w:highlight w:val="none"/>
          <w:lang w:val="en-US" w:eastAsia="zh-CN"/>
        </w:rPr>
        <w:t xml:space="preserve">of fires </w:t>
      </w:r>
      <w:r>
        <w:rPr>
          <w:rFonts w:hint="eastAsia"/>
          <w:highlight w:val="none"/>
          <w:lang w:eastAsia="zh-CN"/>
        </w:rPr>
        <w:t>depends heavily on timely firefighting and rescue responses. As the location of fire stations directly influences how quickly</w:t>
      </w:r>
      <w:r>
        <w:rPr>
          <w:rFonts w:hint="eastAsia"/>
          <w:highlight w:val="none"/>
          <w:lang w:val="en-US" w:eastAsia="zh-CN"/>
        </w:rPr>
        <w:t xml:space="preserve"> </w:t>
      </w:r>
      <w:r>
        <w:rPr>
          <w:rFonts w:hint="eastAsia"/>
          <w:highlight w:val="none"/>
          <w:lang w:eastAsia="zh-CN"/>
        </w:rPr>
        <w:t>emergency services can reach incident sites, fire station location planning is a critical component of</w:t>
      </w:r>
      <w:r>
        <w:rPr>
          <w:rFonts w:hint="default"/>
          <w:highlight w:val="none"/>
          <w:lang w:val="en-US" w:eastAsia="zh-CN"/>
        </w:rPr>
        <w:t xml:space="preserve"> </w:t>
      </w:r>
      <w:r>
        <w:rPr>
          <w:rFonts w:hint="eastAsia"/>
          <w:highlight w:val="none"/>
          <w:lang w:val="en-US" w:eastAsia="zh-CN"/>
        </w:rPr>
        <w:t>fire</w:t>
      </w:r>
      <w:r>
        <w:rPr>
          <w:rFonts w:hint="default"/>
          <w:highlight w:val="none"/>
          <w:lang w:val="en-US" w:eastAsia="zh-CN"/>
        </w:rPr>
        <w:t xml:space="preserve"> protection</w:t>
      </w:r>
      <w:r>
        <w:rPr>
          <w:rFonts w:hint="eastAsia"/>
          <w:highlight w:val="none"/>
          <w:lang w:eastAsia="zh-CN"/>
        </w:rPr>
        <w:t>.</w:t>
      </w:r>
    </w:p>
    <w:p w14:paraId="096D501A">
      <w:pPr>
        <w:pStyle w:val="6"/>
        <w:spacing w:line="240" w:lineRule="auto"/>
        <w:rPr>
          <w:highlight w:val="yellow"/>
        </w:rPr>
      </w:pPr>
    </w:p>
    <w:p w14:paraId="7E809E17">
      <w:pPr>
        <w:spacing w:line="240" w:lineRule="auto"/>
        <w:rPr>
          <w:rFonts w:hint="eastAsia"/>
          <w:color w:val="000000" w:themeColor="text1"/>
          <w:highlight w:val="none"/>
          <w:lang w:val="en-US" w:eastAsia="zh-CN"/>
          <w14:textFill>
            <w14:solidFill>
              <w14:schemeClr w14:val="tx1"/>
            </w14:solidFill>
          </w14:textFill>
        </w:rPr>
      </w:pPr>
      <w:r>
        <w:rPr>
          <w:color w:val="000000" w:themeColor="text1"/>
          <w:highlight w:val="none"/>
          <w:lang w:eastAsia="zh-CN"/>
          <w14:textFill>
            <w14:solidFill>
              <w14:schemeClr w14:val="tx1"/>
            </w14:solidFill>
          </w14:textFill>
        </w:rPr>
        <w:t xml:space="preserve">Fire station planning </w:t>
      </w:r>
      <w:r>
        <w:rPr>
          <w:rFonts w:hint="eastAsia"/>
          <w:color w:val="000000" w:themeColor="text1"/>
          <w:highlight w:val="none"/>
          <w:lang w:eastAsia="zh-CN"/>
          <w14:textFill>
            <w14:solidFill>
              <w14:schemeClr w14:val="tx1"/>
            </w14:solidFill>
          </w14:textFill>
        </w:rPr>
        <w:t>typically considers</w:t>
      </w:r>
      <w:r>
        <w:rPr>
          <w:color w:val="000000" w:themeColor="text1"/>
          <w:highlight w:val="none"/>
          <w:lang w:eastAsia="zh-CN"/>
          <w14:textFill>
            <w14:solidFill>
              <w14:schemeClr w14:val="tx1"/>
            </w14:solidFill>
          </w14:textFill>
        </w:rPr>
        <w:t xml:space="preserve"> two critical factors:</w:t>
      </w:r>
      <w:r>
        <w:rPr>
          <w:rFonts w:hint="default"/>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accessibility</w:t>
      </w:r>
      <w:r>
        <w:rPr>
          <w:rFonts w:hint="eastAsia"/>
          <w:color w:val="000000" w:themeColor="text1"/>
          <w:highlight w:val="none"/>
          <w:lang w:val="en-US" w:eastAsia="zh-CN"/>
          <w14:textFill>
            <w14:solidFill>
              <w14:schemeClr w14:val="tx1"/>
            </w14:solidFill>
          </w14:textFill>
        </w:rPr>
        <w:t xml:space="preserve"> and </w:t>
      </w:r>
      <w:r>
        <w:rPr>
          <w:color w:val="000000" w:themeColor="text1"/>
          <w:highlight w:val="none"/>
          <w:lang w:eastAsia="zh-CN"/>
          <w14:textFill>
            <w14:solidFill>
              <w14:schemeClr w14:val="tx1"/>
            </w14:solidFill>
          </w14:textFill>
        </w:rPr>
        <w:t>service coverage.</w:t>
      </w:r>
      <w:r>
        <w:rPr>
          <w:rFonts w:hint="eastAsia"/>
          <w:color w:val="000000" w:themeColor="text1"/>
          <w:highlight w:val="none"/>
          <w:lang w:eastAsia="zh-CN"/>
          <w14:textFill>
            <w14:solidFill>
              <w14:schemeClr w14:val="tx1"/>
            </w14:solidFill>
          </w14:textFill>
        </w:rPr>
        <w:t xml:space="preserve"> </w:t>
      </w:r>
      <w:r>
        <w:rPr>
          <w:rFonts w:hint="default"/>
          <w:color w:val="000000" w:themeColor="text1"/>
          <w:highlight w:val="none"/>
          <w:lang w:val="en-US" w:eastAsia="zh-CN"/>
          <w14:textFill>
            <w14:solidFill>
              <w14:schemeClr w14:val="tx1"/>
            </w14:solidFill>
          </w14:textFill>
        </w:rPr>
        <w:t>Accessibility reflects the ease of reaching incident sites, while service coverage refers to the area that can be reached from a fire station within a maximum allowable response distance or time</w:t>
      </w:r>
      <w:r>
        <w:rPr>
          <w:rFonts w:hint="eastAsia"/>
          <w:color w:val="000000" w:themeColor="text1"/>
          <w:highlight w:val="none"/>
          <w:lang w:val="en-US" w:eastAsia="zh-CN"/>
          <w14:textFill>
            <w14:solidFill>
              <w14:schemeClr w14:val="tx1"/>
            </w14:solidFill>
          </w14:textFill>
        </w:rPr>
        <w:t xml:space="preserve"> </w:t>
      </w:r>
      <w:r>
        <w:rPr>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ADDIN ZOTERO_ITEM CSL_CITATION {"citationID":"Y15RbPbM","properties":{"formattedCitation":"(Yao, Zhang and Murray, 2019)","plainCitation":"(Yao, Zhang and Murray, 2019)","noteIndex":0},"citationItems":[{"id":"p9WZ4uIC/geHSIOin","uris":["http://zotero.org/users/14687918/items/MYUJNZ72"],"itemData":{"id":223,"type":"article-journal","abstract":"Fire and rescue services are among the most critical public services provided by governments to protect people, property and the environment from fires and other emergencies. Efficient deployment of fire stations is essential to ensure timely response to calls for service. Given the geographic nature of such problems, spatial optimization approaches have long been employed in public facility location modeling along these lines. In particular, median and coverage approaches have been widely adopted to help achieve travel-cost and service-coverage goals, respectively. This paper proposes a bi-objective spatial optimization model that integrates coverage and median goals in the service of demand areas. Based on the properties of derived objective functions, we presented a constraint-based solution procedure to generate the Pareto frontier, enabling the identification of alternative fire station siting scenarios. The developed model is applied to an empirical study that seeks to identify the best fire station locations in Nanjing, China. The results demonstrate the value of spatial optimization in assisting fire station planning and rescue resource deployment, highlighting important policy implications.","container-title":"Computers, Environment and Urban Systems","DOI":"10.1016/j.compenvurbsys.2018.10.006","ISSN":"0198-9715","journalAbbreviation":"Computers, Environment and Urban Systems","page":"184-190","source":"ScienceDirect","title":"Location optimization of urban fire stations: Access and service coverage","title-short":"Location optimization of urban fire stations","volume":"73","author":[{"family":"Yao","given":"Jing"},{"family":"Zhang","given":"Xiaoxiang"},{"family":"Murray","given":"Alan T."}],"issued":{"date-parts":[["2019",1,1]]}}}],"schema":"https://github.com/citation-style-language/schema/raw/master/csl-citation.json"} </w:instrText>
      </w:r>
      <w:r>
        <w:rPr>
          <w:color w:val="000000" w:themeColor="text1"/>
          <w:highlight w:val="none"/>
          <w:lang w:eastAsia="zh-CN"/>
          <w14:textFill>
            <w14:solidFill>
              <w14:schemeClr w14:val="tx1"/>
            </w14:solidFill>
          </w14:textFill>
        </w:rPr>
        <w:fldChar w:fldCharType="separate"/>
      </w:r>
      <w:r>
        <w:t>(Yao, Zhang and Murray, 2019)</w:t>
      </w:r>
      <w:r>
        <w:rPr>
          <w:color w:val="000000" w:themeColor="text1"/>
          <w:highlight w:val="none"/>
          <w:lang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 xml:space="preserve"> Existing studies seldom consider both factors simultaneously, and relatively few incorporate existing fire stations into the optimization process</w:t>
      </w:r>
      <w:r>
        <w:rPr>
          <w:rFonts w:hint="default"/>
          <w:color w:val="000000" w:themeColor="text1"/>
          <w:highlight w:val="none"/>
          <w:lang w:val="en-US" w:eastAsia="zh-CN"/>
          <w14:textFill>
            <w14:solidFill>
              <w14:schemeClr w14:val="tx1"/>
            </w14:solidFill>
          </w14:textFill>
        </w:rPr>
        <w:t xml:space="preserve"> </w:t>
      </w:r>
      <w:r>
        <w:rPr>
          <w:color w:val="000000" w:themeColor="text1"/>
          <w:highlight w:val="none"/>
          <w:lang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ADDIN ZOTERO_ITEM CSL_CITATION {"citationID":"ood9hJL9","properties":{"formattedCitation":"(Yao, Zhang and Murray, 2019)","plainCitation":"(Yao, Zhang and Murray, 2019)","noteIndex":0},"citationItems":[{"id":"p9WZ4uIC/geHSIOin","uris":["http://zotero.org/users/14687918/items/MYUJNZ72"],"itemData":{"id":223,"type":"article-journal","abstract":"Fire and rescue services are among the most critical public services provided by governments to protect people, property and the environment from fires and other emergencies. Efficient deployment of fire stations is essential to ensure timely response to calls for service. Given the geographic nature of such problems, spatial optimization approaches have long been employed in public facility location modeling along these lines. In particular, median and coverage approaches have been widely adopted to help achieve travel-cost and service-coverage goals, respectively. This paper proposes a bi-objective spatial optimization model that integrates coverage and median goals in the service of demand areas. Based on the properties of derived objective functions, we presented a constraint-based solution procedure to generate the Pareto frontier, enabling the identification of alternative fire station siting scenarios. The developed model is applied to an empirical study that seeks to identify the best fire station locations in Nanjing, China. The results demonstrate the value of spatial optimization in assisting fire station planning and rescue resource deployment, highlighting important policy implications.","container-title":"Computers, Environment and Urban Systems","DOI":"10.1016/j.compenvurbsys.2018.10.006","ISSN":"0198-9715","journalAbbreviation":"Computers, Environment and Urban Systems","page":"184-190","source":"ScienceDirect","title":"Location optimization of urban fire stations: Access and service coverage","title-short":"Location optimization of urban fire stations","volume":"73","author":[{"family":"Yao","given":"Jing"},{"family":"Zhang","given":"Xiaoxiang"},{"family":"Murray","given":"Alan T."}],"issued":{"date-parts":[["2019",1,1]]}}}],"schema":"https://github.com/citation-style-language/schema/raw/master/csl-citation.json"} </w:instrText>
      </w:r>
      <w:r>
        <w:rPr>
          <w:color w:val="000000" w:themeColor="text1"/>
          <w:highlight w:val="none"/>
          <w:lang w:eastAsia="zh-CN"/>
          <w14:textFill>
            <w14:solidFill>
              <w14:schemeClr w14:val="tx1"/>
            </w14:solidFill>
          </w14:textFill>
        </w:rPr>
        <w:fldChar w:fldCharType="separate"/>
      </w:r>
      <w:r>
        <w:t>(Yao, Zhang and Murray, 2019)</w:t>
      </w:r>
      <w:r>
        <w:rPr>
          <w:color w:val="000000" w:themeColor="text1"/>
          <w:highlight w:val="none"/>
          <w:lang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limiting their applicability to real-world fire station planning.</w:t>
      </w:r>
    </w:p>
    <w:p w14:paraId="2480C561">
      <w:pPr>
        <w:spacing w:line="240" w:lineRule="auto"/>
        <w:rPr>
          <w:color w:val="000000" w:themeColor="text1"/>
          <w:highlight w:val="yellow"/>
          <w:lang w:val="en-US" w:eastAsia="zh-CN"/>
          <w14:textFill>
            <w14:solidFill>
              <w14:schemeClr w14:val="tx1"/>
            </w14:solidFill>
          </w14:textFill>
        </w:rPr>
      </w:pPr>
    </w:p>
    <w:p w14:paraId="096D5020">
      <w:pPr>
        <w:spacing w:line="240" w:lineRule="auto"/>
        <w:rPr>
          <w:rFonts w:hint="eastAsia"/>
          <w:color w:val="000000" w:themeColor="text1"/>
          <w:highlight w:val="yellow"/>
          <w:lang w:val="en-US" w:eastAsia="zh-CN"/>
          <w14:textFill>
            <w14:solidFill>
              <w14:schemeClr w14:val="tx1"/>
            </w14:solidFill>
          </w14:textFill>
        </w:rPr>
      </w:pPr>
      <w:r>
        <w:rPr>
          <w:color w:val="000000" w:themeColor="text1"/>
          <w:highlight w:val="none"/>
          <w:lang w:val="en-US" w:eastAsia="zh-CN"/>
          <w14:textFill>
            <w14:solidFill>
              <w14:schemeClr w14:val="tx1"/>
            </w14:solidFill>
          </w14:textFill>
        </w:rPr>
        <w:t>Building on these insights,</w:t>
      </w:r>
      <w:r>
        <w:rPr>
          <w:highlight w:val="none"/>
        </w:rPr>
        <w:t xml:space="preserve"> </w:t>
      </w:r>
      <w:r>
        <w:rPr>
          <w:rFonts w:hint="eastAsia"/>
          <w:color w:val="000000" w:themeColor="text1"/>
          <w:highlight w:val="none"/>
          <w:lang w:val="en-US" w:eastAsia="zh-CN"/>
          <w14:textFill>
            <w14:solidFill>
              <w14:schemeClr w14:val="tx1"/>
            </w14:solidFill>
          </w14:textFill>
        </w:rPr>
        <w:t>t</w:t>
      </w:r>
      <w:r>
        <w:rPr>
          <w:color w:val="000000" w:themeColor="text1"/>
          <w:highlight w:val="none"/>
          <w:lang w:val="en-US" w:eastAsia="zh-CN"/>
          <w14:textFill>
            <w14:solidFill>
              <w14:schemeClr w14:val="tx1"/>
            </w14:solidFill>
          </w14:textFill>
        </w:rPr>
        <w:t>his study aims to answer the question: How can the current fire station network be optimized to balance service coverage and accessibility?</w:t>
      </w:r>
      <w:r>
        <w:rPr>
          <w:rFonts w:hint="eastAsia"/>
          <w:color w:val="000000" w:themeColor="text1"/>
          <w:highlight w:val="none"/>
          <w:lang w:val="en-US" w:eastAsia="zh-CN"/>
          <w14:textFill>
            <w14:solidFill>
              <w14:schemeClr w14:val="tx1"/>
            </w14:solidFill>
          </w14:textFill>
        </w:rPr>
        <w:t xml:space="preserve"> </w:t>
      </w:r>
      <w:r>
        <w:rPr>
          <w:color w:val="000000" w:themeColor="text1"/>
          <w:highlight w:val="none"/>
          <w:lang w:val="en-US" w:eastAsia="zh-CN"/>
          <w14:textFill>
            <w14:solidFill>
              <w14:schemeClr w14:val="tx1"/>
            </w14:solidFill>
          </w14:textFill>
        </w:rPr>
        <w:t xml:space="preserve">The London Borough of Hillingdon is selected as the case study due to its </w:t>
      </w:r>
      <w:r>
        <w:rPr>
          <w:rFonts w:hint="default"/>
          <w:color w:val="000000" w:themeColor="text1"/>
          <w:highlight w:val="none"/>
          <w:lang w:val="en-US" w:eastAsia="zh-CN"/>
          <w14:textFill>
            <w14:solidFill>
              <w14:schemeClr w14:val="tx1"/>
            </w14:solidFill>
          </w14:textFill>
        </w:rPr>
        <w:t>unsatisfactory</w:t>
      </w:r>
      <w:r>
        <w:rPr>
          <w:color w:val="000000" w:themeColor="text1"/>
          <w:highlight w:val="none"/>
          <w:lang w:val="en-US" w:eastAsia="zh-CN"/>
          <w14:textFill>
            <w14:solidFill>
              <w14:schemeClr w14:val="tx1"/>
            </w14:solidFill>
          </w14:textFill>
        </w:rPr>
        <w:t xml:space="preserve"> fire service performance.</w:t>
      </w:r>
      <w:r>
        <w:rPr>
          <w:rFonts w:hint="eastAsia"/>
          <w:color w:val="000000" w:themeColor="text1"/>
          <w:highlight w:val="none"/>
          <w:lang w:val="en-US" w:eastAsia="zh-CN"/>
          <w14:textFill>
            <w14:solidFill>
              <w14:schemeClr w14:val="tx1"/>
            </w14:solidFill>
          </w14:textFill>
        </w:rPr>
        <w:t xml:space="preserve"> </w:t>
      </w:r>
    </w:p>
    <w:p w14:paraId="094E7431">
      <w:pPr>
        <w:spacing w:line="240" w:lineRule="auto"/>
        <w:rPr>
          <w:rFonts w:hint="eastAsia"/>
          <w:color w:val="000000" w:themeColor="text1"/>
          <w:highlight w:val="yellow"/>
          <w:lang w:val="en-US" w:eastAsia="zh-CN"/>
          <w14:textFill>
            <w14:solidFill>
              <w14:schemeClr w14:val="tx1"/>
            </w14:solidFill>
          </w14:textFill>
        </w:rPr>
      </w:pPr>
    </w:p>
    <w:p w14:paraId="36F0B3B7">
      <w:pPr>
        <w:pStyle w:val="2"/>
        <w:bidi w:val="0"/>
        <w:spacing w:line="240" w:lineRule="auto"/>
        <w:rPr>
          <w:highlight w:val="none"/>
          <w:lang w:eastAsia="zh-CN"/>
        </w:rPr>
      </w:pPr>
      <w:r>
        <w:rPr>
          <w:highlight w:val="none"/>
        </w:rPr>
        <w:t>Literature Review</w:t>
      </w:r>
    </w:p>
    <w:p w14:paraId="7A68A770">
      <w:pPr>
        <w:spacing w:line="240" w:lineRule="auto"/>
        <w:rPr>
          <w:highlight w:val="yellow"/>
          <w:lang w:eastAsia="zh-CN"/>
        </w:rPr>
      </w:pPr>
    </w:p>
    <w:p w14:paraId="01185769">
      <w:pPr>
        <w:spacing w:line="240" w:lineRule="auto"/>
        <w:rPr>
          <w:rFonts w:hint="default"/>
          <w:highlight w:val="yellow"/>
          <w:lang w:val="en-US" w:eastAsia="zh-CN"/>
        </w:rPr>
      </w:pPr>
      <w:r>
        <w:rPr>
          <w:rFonts w:hint="eastAsia"/>
          <w:highlight w:val="none"/>
          <w:lang w:eastAsia="zh-CN"/>
        </w:rPr>
        <w:t>Many studies have been dedicated to optimizing fire station locations, and their approaches can be broadly categorized into accessibility-based and service coverage-based models.</w:t>
      </w:r>
      <w:r>
        <w:rPr>
          <w:rFonts w:hint="eastAsia"/>
          <w:highlight w:val="none"/>
          <w:u w:val="none"/>
          <w:lang w:val="en-US" w:eastAsia="zh-CN"/>
        </w:rPr>
        <w:t xml:space="preserve"> </w:t>
      </w:r>
      <w:r>
        <w:rPr>
          <w:rFonts w:hint="default"/>
          <w:highlight w:val="none"/>
          <w:u w:val="none"/>
          <w:lang w:val="en-US" w:eastAsia="zh-CN"/>
        </w:rPr>
        <w:t xml:space="preserve">For accessibility, the p-median problem </w:t>
      </w:r>
      <w:r>
        <w:rPr>
          <w:highlight w:val="none"/>
          <w:u w:val="none"/>
          <w:lang w:val="en-US" w:eastAsia="zh-CN"/>
        </w:rPr>
        <w:fldChar w:fldCharType="begin"/>
      </w:r>
      <w:r>
        <w:rPr>
          <w:rFonts w:hint="eastAsia"/>
          <w:highlight w:val="none"/>
          <w:u w:val="none"/>
          <w:lang w:val="en-US" w:eastAsia="zh-CN"/>
        </w:rPr>
        <w:instrText xml:space="preserve"> ADDIN ZOTERO_ITEM CSL_CITATION {"citationID":"GUfDySOu","properties":{"unsorted":false,"formattedCitation":"(PMP; Hakimi, 1964)","plainCitation":"(PMP; Hakimi, 1964)","noteIndex":0},"citationItems":[{"id":"p9WZ4uIC/yxzxhV8j","uris":["http://zotero.org/users/14687918/items/GQNBJBGJ"],"itemData":{"id":"MSi45Qdq/8a2dcJo2","type":"article-journal","abstract":"The concepts of the “center” and the “median vertex” of a graph are generalized to the “absolute center” and the “absolute median” of a weighted graph (a graph with weights attached to its vertices as well as to its branches). These results are used to find the optimum location of a “switching center” in a communication network and to locate the best place to build a “police station” in a highway system. It is shown that the optimum location of a switching center is always at a vertex of the communication network while the best location for the police station is not necessarily at an intersection. Procedures for finding these locations are given.","container-title":"Operations Research","DOI":"10.1287/opre.12.3.450","ISSN":"0030-364X","issue":"3","note":"publisher: INFORMS","page":"450-459","source":"pubsonline.informs.org (Atypon)","title":"Optimum Locations of Switching Centers and the Absolute Centers and Medians of a Graph","volume":"12","author":[{"family":"Hakimi","given":"S. L."}],"issued":{"date-parts":[["1964",6]]}},"prefix":"PMP;"}],"schema":"https://github.com/citation-style-language/schema/raw/master/csl-citation.json"} </w:instrText>
      </w:r>
      <w:r>
        <w:rPr>
          <w:highlight w:val="none"/>
          <w:u w:val="none"/>
          <w:lang w:val="en-US" w:eastAsia="zh-CN"/>
        </w:rPr>
        <w:fldChar w:fldCharType="separate"/>
      </w:r>
      <w:r>
        <w:rPr>
          <w:u w:val="none"/>
        </w:rPr>
        <w:t>(PMP; Hakimi, 1964)</w:t>
      </w:r>
      <w:r>
        <w:rPr>
          <w:highlight w:val="none"/>
          <w:u w:val="none"/>
          <w:lang w:val="en-US" w:eastAsia="zh-CN"/>
        </w:rPr>
        <w:fldChar w:fldCharType="end"/>
      </w:r>
      <w:r>
        <w:rPr>
          <w:rFonts w:hint="default"/>
          <w:highlight w:val="none"/>
          <w:u w:val="none"/>
          <w:lang w:val="en-US" w:eastAsia="zh-CN"/>
        </w:rPr>
        <w:t xml:space="preserve"> is a widely used approach that determines the locations of a predefined number of facilities to minimize the total weighted </w:t>
      </w:r>
      <w:r>
        <w:rPr>
          <w:rFonts w:hint="eastAsia"/>
          <w:highlight w:val="none"/>
          <w:u w:val="none"/>
          <w:lang w:val="en-US" w:eastAsia="zh-CN"/>
        </w:rPr>
        <w:t xml:space="preserve">travel </w:t>
      </w:r>
      <w:r>
        <w:rPr>
          <w:rFonts w:hint="default"/>
          <w:highlight w:val="none"/>
          <w:u w:val="none"/>
          <w:lang w:val="en-US" w:eastAsia="zh-CN"/>
        </w:rPr>
        <w:t xml:space="preserve">distance or time between demand </w:t>
      </w:r>
      <w:r>
        <w:rPr>
          <w:rFonts w:hint="eastAsia"/>
          <w:highlight w:val="none"/>
          <w:u w:val="none"/>
          <w:lang w:val="en-US" w:eastAsia="zh-CN"/>
        </w:rPr>
        <w:t>area</w:t>
      </w:r>
      <w:r>
        <w:rPr>
          <w:rFonts w:hint="default"/>
          <w:highlight w:val="none"/>
          <w:u w:val="none"/>
          <w:lang w:val="en-US" w:eastAsia="zh-CN"/>
        </w:rPr>
        <w:t>s and their assigned facilities.</w:t>
      </w:r>
      <w:r>
        <w:rPr>
          <w:rFonts w:hint="eastAsia"/>
          <w:highlight w:val="none"/>
          <w:u w:val="none"/>
          <w:lang w:val="en-US" w:eastAsia="zh-CN"/>
        </w:rPr>
        <w:t xml:space="preserve"> </w:t>
      </w:r>
      <w:r>
        <w:rPr>
          <w:rFonts w:hint="eastAsia"/>
          <w:highlight w:val="none"/>
          <w:lang w:val="en-US" w:eastAsia="zh-CN"/>
        </w:rPr>
        <w:t xml:space="preserve">The PMP has also undergone various extensions, such as the incorporation of time-related constraints to better reflect the time-sensitive nature of fire rescue operations </w:t>
      </w:r>
      <w:r>
        <w:rPr>
          <w:highlight w:val="none"/>
          <w:lang w:val="en-US" w:eastAsia="zh-CN"/>
        </w:rPr>
        <w:fldChar w:fldCharType="begin"/>
      </w:r>
      <w:r>
        <w:rPr>
          <w:rFonts w:hint="eastAsia"/>
          <w:highlight w:val="none"/>
          <w:lang w:val="en-US" w:eastAsia="zh-CN"/>
        </w:rPr>
        <w:instrText xml:space="preserve"> ADDIN ZOTERO_ITEM CSL_CITATION {"citationID":"HFJ2Cg3k","properties":{"formattedCitation":"(Xi &lt;i&gt;et al.&lt;/i&gt;, 2013)","plainCitation":"(Xi et al., 2013)","noteIndex":0},"citationItems":[{"id":"p9WZ4uIC/MieWfFmM","uris":["http://zotero.org/users/14687918/items/LHM9PURT"],"itemData":{"id":237,"type":"article-journal","abstract":"Emergency incidents, including natural disasters, terrorist attacks, public health outbreaks, and industrial and mining accidents, and so forth, result in severe human casualties and property losses. Emergency facilities, which provide relief materials and services, play an important role in rescue management. The decision of where to locate the emergency rescue facilities is very important, as it determines the efficiency and effectiveness of the emergency management process. This paper develops a modified p-median problem model that accounts for rescue time limitations. A variable neighbourhood search- (VNS-) based algorithm is developed for the model considered. The modified VNS algorithm exhibits good performance on p-median benchmark problems. A case from Western China is studied, and a reasonable location decision is then made for emergency rescue facilities using the modified VNS algorithm. The paper also compares the results with and without considering the rescue time limitation.","container-title":"Journal of Applied Mathematics","DOI":"10.1155/2013/375657","ISSN":"1110-757X, 1687-0042","issue":"none","note":"publisher: Hindawi","page":"1-10","source":"Project Euclid","title":"A Modified p-Median Model for the Emergency Facilities Location Problem and Its Variable Neighbourhood Search-Based Algorithm","volume":"2013","author":[{"family":"Xi","given":"Menghao"},{"family":"Ye","given":"Feng"},{"family":"Yao","given":"Zhong"},{"family":"Zhao","given":"Qiuhong"}],"issued":{"date-parts":[["2013",1]]}}}],"schema":"https://github.com/citation-style-language/schema/raw/master/csl-citation.json"} </w:instrText>
      </w:r>
      <w:r>
        <w:rPr>
          <w:highlight w:val="none"/>
          <w:lang w:val="en-US" w:eastAsia="zh-CN"/>
        </w:rPr>
        <w:fldChar w:fldCharType="separate"/>
      </w:r>
      <w:r>
        <w:rPr>
          <w:highlight w:val="none"/>
        </w:rPr>
        <w:t xml:space="preserve">(Xi </w:t>
      </w:r>
      <w:r>
        <w:rPr>
          <w:i/>
          <w:highlight w:val="none"/>
        </w:rPr>
        <w:t>et al.</w:t>
      </w:r>
      <w:r>
        <w:rPr>
          <w:highlight w:val="none"/>
        </w:rPr>
        <w:t>, 2013)</w:t>
      </w:r>
      <w:r>
        <w:rPr>
          <w:highlight w:val="none"/>
          <w:lang w:val="en-US" w:eastAsia="zh-CN"/>
        </w:rPr>
        <w:fldChar w:fldCharType="end"/>
      </w:r>
      <w:r>
        <w:rPr>
          <w:highlight w:val="none"/>
          <w:lang w:val="en-US" w:eastAsia="zh-CN"/>
        </w:rPr>
        <w:t>.</w:t>
      </w:r>
      <w:r>
        <w:rPr>
          <w:rFonts w:hint="default"/>
          <w:highlight w:val="none"/>
          <w:lang w:val="en-US" w:eastAsia="zh-CN"/>
        </w:rPr>
        <w:t xml:space="preserve"> On the other hand, s</w:t>
      </w:r>
      <w:r>
        <w:rPr>
          <w:rFonts w:hint="eastAsia"/>
          <w:highlight w:val="none"/>
          <w:lang w:val="en-US" w:eastAsia="zh-CN"/>
        </w:rPr>
        <w:t>ervice coverage is commonly addressed through the location set covering problem</w:t>
      </w:r>
      <w:r>
        <w:rPr>
          <w:rFonts w:hint="default"/>
          <w:highlight w:val="none"/>
          <w:lang w:val="en-US" w:eastAsia="zh-CN"/>
        </w:rPr>
        <w:t xml:space="preserve"> </w:t>
      </w:r>
      <w:r>
        <w:rPr>
          <w:highlight w:val="none"/>
          <w:lang w:val="en-US" w:eastAsia="zh-CN"/>
        </w:rPr>
        <w:fldChar w:fldCharType="begin"/>
      </w:r>
      <w:r>
        <w:rPr>
          <w:rFonts w:hint="eastAsia"/>
          <w:highlight w:val="none"/>
          <w:lang w:val="en-US" w:eastAsia="zh-CN"/>
        </w:rPr>
        <w:instrText xml:space="preserve"> ADDIN ZOTERO_ITEM CSL_CITATION {"citationID":"gbQOHY7n","properties":{"unsorted":false,"formattedCitation":"(LSCP; Toregas &lt;i&gt;et al.&lt;/i&gt;, 1971)","plainCitation":"(LSCP; Toregas et al., 1971)","noteIndex":0},"citationItems":[{"id":"p9WZ4uIC/0bdAsq2S","uris":["http://zotero.org/users/14687918/items/I3LWC8CB"],"itemData":{"id":"p9WZ4uIC/0bdAsq2S","type":"article-journal","abstract":"This paper views the location of emergency facilities as a set covering problem with equal costs in the objective. The sets are composed of the potential facility points within a specified time or distance of each demand point. One constraint is written for each demand point requiring “cover,” and linear programming is applied to solve the covering problem, a single-cut constraint being added as necessary to resolve fractional solutions.","container-title":"Operations Research","DOI":"10.1287/opre.19.6.1363","ISSN":"0030-364X","issue":"6","note":"publisher: INFORMS","page":"1363-1373","source":"pubsonline.informs.org (Atypon)","title":"The Location of Emergency Service Facilities","volume":"19","author":[{"family":"Toregas","given":"Constantine"},{"family":"Swain","given":"Ralph"},{"family":"ReVelle","given":"Charles"},{"family":"Bergman","given":"Lawrence"}],"issued":{"date-parts":[["1971",10]]}},"prefix":"LSCP;"}],"schema":"https://github.com/citation-style-language/schema/raw/master/csl-citation.json"} </w:instrText>
      </w:r>
      <w:r>
        <w:rPr>
          <w:highlight w:val="none"/>
          <w:lang w:val="en-US" w:eastAsia="zh-CN"/>
        </w:rPr>
        <w:fldChar w:fldCharType="separate"/>
      </w:r>
      <w:r>
        <w:t xml:space="preserve">(LSCP; Toregas </w:t>
      </w:r>
      <w:r>
        <w:rPr>
          <w:i/>
        </w:rPr>
        <w:t>et al.</w:t>
      </w:r>
      <w:r>
        <w:t>, 1971)</w:t>
      </w:r>
      <w:r>
        <w:rPr>
          <w:highlight w:val="none"/>
          <w:lang w:val="en-US" w:eastAsia="zh-CN"/>
        </w:rPr>
        <w:fldChar w:fldCharType="end"/>
      </w:r>
      <w:r>
        <w:rPr>
          <w:rFonts w:hint="default"/>
          <w:highlight w:val="none"/>
          <w:lang w:val="en-US" w:eastAsia="zh-CN"/>
        </w:rPr>
        <w:t xml:space="preserve"> and maximal covering location problem </w:t>
      </w:r>
      <w:r>
        <w:rPr>
          <w:highlight w:val="yellow"/>
          <w:lang w:val="en-US" w:eastAsia="zh-CN"/>
        </w:rPr>
        <w:fldChar w:fldCharType="begin"/>
      </w:r>
      <w:r>
        <w:rPr>
          <w:rFonts w:hint="eastAsia"/>
          <w:highlight w:val="yellow"/>
          <w:lang w:val="en-US" w:eastAsia="zh-CN"/>
        </w:rPr>
        <w:instrText xml:space="preserve"> ADDIN ZOTERO_ITEM CSL_CITATION {"citationID":"Fv7024Wk","properties":{"unsorted":false,"formattedCitation":"(MCLP; Church and Velle, 1974)","plainCitation":"(MCLP; Church and Velle, 1974)","noteIndex":0},"citationItems":[{"id":"p9WZ4uIC/vYTZf6AY","uris":["http://zotero.org/users/14687918/items/T62KZQ69"],"itemData":{"id":"p9WZ4uIC/vYTZf6AY","type":"article-journal","container-title":"Papers in Regional Science","DOI":"10.1111/j.1435-5597.1974.tb00902.x","ISSN":"1435-5957","issue":"1","language":"en","note":"_eprint: https://onlinelibrary.wiley.com/doi/pdf/10.1111/j.1435-5597.1974.tb00902.x","page":"101-118","source":"Wiley Online Library","title":"The Maximal Covering Location Problem","volume":"32","author":[{"family":"Church","given":"Richard"},{"family":"Velle","given":"Charles R."}],"issued":{"date-parts":[["1974"]]}},"prefix":"MCLP;"}],"schema":"https://github.com/citation-style-language/schema/raw/master/csl-citation.json"} </w:instrText>
      </w:r>
      <w:r>
        <w:rPr>
          <w:highlight w:val="yellow"/>
          <w:lang w:val="en-US" w:eastAsia="zh-CN"/>
        </w:rPr>
        <w:fldChar w:fldCharType="separate"/>
      </w:r>
      <w:r>
        <w:t>(MCLP; Church and Velle, 1974)</w:t>
      </w:r>
      <w:r>
        <w:rPr>
          <w:highlight w:val="yellow"/>
          <w:lang w:val="en-US" w:eastAsia="zh-CN"/>
        </w:rPr>
        <w:fldChar w:fldCharType="end"/>
      </w:r>
      <w:r>
        <w:rPr>
          <w:rFonts w:hint="default"/>
          <w:highlight w:val="none"/>
          <w:lang w:val="en-US" w:eastAsia="zh-CN"/>
        </w:rPr>
        <w:t>. T</w:t>
      </w:r>
      <w:r>
        <w:rPr>
          <w:rFonts w:hint="eastAsia"/>
          <w:highlight w:val="none"/>
          <w:lang w:val="en-US" w:eastAsia="zh-CN"/>
        </w:rPr>
        <w:t>he LSCP</w:t>
      </w:r>
      <w:r>
        <w:rPr>
          <w:rFonts w:hint="default"/>
          <w:highlight w:val="none"/>
          <w:lang w:val="en-US" w:eastAsia="zh-CN"/>
        </w:rPr>
        <w:t xml:space="preserve"> </w:t>
      </w:r>
      <w:r>
        <w:rPr>
          <w:rFonts w:hint="eastAsia"/>
          <w:highlight w:val="none"/>
          <w:lang w:val="en-US" w:eastAsia="zh-CN"/>
        </w:rPr>
        <w:t>seeks to minimize the number of facilities required to cover all demand areas within a predefined service distance or time</w:t>
      </w:r>
      <w:r>
        <w:rPr>
          <w:highlight w:val="none"/>
          <w:lang w:val="en-US" w:eastAsia="zh-CN"/>
        </w:rPr>
        <w:t>.</w:t>
      </w:r>
      <w:r>
        <w:rPr>
          <w:rFonts w:hint="default"/>
          <w:highlight w:val="none"/>
          <w:lang w:val="en-US" w:eastAsia="zh-CN"/>
        </w:rPr>
        <w:t xml:space="preserve"> </w:t>
      </w:r>
      <w:r>
        <w:rPr>
          <w:rFonts w:hint="eastAsia"/>
          <w:highlight w:val="none"/>
          <w:lang w:val="en-US" w:eastAsia="zh-CN"/>
        </w:rPr>
        <w:t>For</w:t>
      </w:r>
      <w:r>
        <w:rPr>
          <w:highlight w:val="none"/>
          <w:lang w:val="en-US" w:eastAsia="zh-CN"/>
        </w:rPr>
        <w:t xml:space="preserve"> example, Church and Li </w:t>
      </w:r>
      <w:r>
        <w:rPr>
          <w:highlight w:val="none"/>
          <w:lang w:val="en-US" w:eastAsia="zh-CN"/>
        </w:rPr>
        <w:fldChar w:fldCharType="begin"/>
      </w:r>
      <w:r>
        <w:rPr>
          <w:rFonts w:hint="eastAsia"/>
          <w:highlight w:val="none"/>
          <w:lang w:val="en-US" w:eastAsia="zh-CN"/>
        </w:rPr>
        <w:instrText xml:space="preserve"> ADDIN ZOTERO_ITEM CSL_CITATION {"citationID":"PjjXX5yK","properties":{"formattedCitation":"(2016)","plainCitation":"(2016)","noteIndex":0},"citationItems":[{"id":"p9WZ4uIC/ZAt5vsFm","uris":["http://zotero.org/users/14687918/items/JQX9ATLI"],"itemData":{"id":233,"type":"article-journal","abstract":"The efficiency of public investments and services has been of interest to geographic researchers for several decades. While in the private sector inefficiency often leads to higher prices, loss of competitiveness, and loss of business, in the public sector inefficiency in service provision does not necessarily lead to immediate changes. In many cases, it is not an entirely easy task to analyze a particular service as appropriate data may be difficult to obtain and hidden in detailed budgets. In this paper, we develop an integrative approach that uses cyber search, Geographic Information System (GIS), and spatial optimization to estimate the spatial efficiency of fire protection services in Los Angeles (LA) County. We develop a cyber-search process to identify current deployment patterns of fire stations across the major urban region of LA County. We compare the results of our search to existing databases. Using spatial optimization, we estimate the level of deployment that is needed to meet desired coverage levels based upon the location of an ideal fire station pattern, and then compare this ideal level of deployment to the existing system as a means of estimating spatial efficiency. GIS is adopted throughout the paper to simulate the demand locations, to conduct location-based spatial analysis, to visualize fire station data, and to map model simulation results. Finally, we show that the existing system in LA County has considerable room for improvement. The methodology presented in this paper is both novel and groundbreaking, and the automated assessments are readily transferable to other counties and jurisdictions.","container-title":"International Journal of Geographical Information Science","DOI":"10.1080/13658816.2015.1083572","ISSN":"1365-8816","issue":"3","note":"publisher: Taylor &amp; Francis\n_eprint: https://doi.org/10.1080/13658816.2015.1083572","page":"535-553","source":"Taylor and Francis+NEJM","title":"Estimating spatial efficiency using cyber search, GIS, and spatial optimization: a case study of fire service deployment in Los Angeles County","title-short":"Estimating spatial efficiency using cyber search, GIS, and spatial optimization","volume":"30","author":[{"family":"Church","given":"Richard L."},{"family":"Li","given":"Wenwen"}],"issued":{"date-parts":[["2016",3,3]]}},"suppress-author":true}],"schema":"https://github.com/citation-style-language/schema/raw/master/csl-citation.json"} </w:instrText>
      </w:r>
      <w:r>
        <w:rPr>
          <w:highlight w:val="none"/>
          <w:lang w:val="en-US" w:eastAsia="zh-CN"/>
        </w:rPr>
        <w:fldChar w:fldCharType="separate"/>
      </w:r>
      <w:r>
        <w:rPr>
          <w:highlight w:val="none"/>
          <w:lang w:val="en-US" w:eastAsia="zh-CN"/>
        </w:rPr>
        <w:t>(2016)</w:t>
      </w:r>
      <w:r>
        <w:rPr>
          <w:highlight w:val="none"/>
          <w:lang w:val="en-US" w:eastAsia="zh-CN"/>
        </w:rPr>
        <w:fldChar w:fldCharType="end"/>
      </w:r>
      <w:r>
        <w:rPr>
          <w:highlight w:val="none"/>
          <w:lang w:val="en-US" w:eastAsia="zh-CN"/>
        </w:rPr>
        <w:t xml:space="preserve"> applied the LSCP to Los Angeles County, finding that existing fire stations are only 74% efficient: 254 stations could provide full coverage compared to the 341 stations currently in operation.</w:t>
      </w:r>
      <w:r>
        <w:rPr>
          <w:rFonts w:hint="eastAsia"/>
          <w:highlight w:val="none"/>
          <w:lang w:val="en-US" w:eastAsia="zh-CN"/>
        </w:rPr>
        <w:t xml:space="preserve"> The MCLP</w:t>
      </w:r>
      <w:r>
        <w:rPr>
          <w:rFonts w:hint="default"/>
          <w:highlight w:val="none"/>
          <w:lang w:val="en-US" w:eastAsia="zh-CN"/>
        </w:rPr>
        <w:t xml:space="preserve"> </w:t>
      </w:r>
      <w:r>
        <w:rPr>
          <w:rFonts w:hint="eastAsia"/>
          <w:highlight w:val="none"/>
          <w:lang w:val="en-US" w:eastAsia="zh-CN"/>
        </w:rPr>
        <w:t xml:space="preserve">is generally applied when full coverage is infeasible or not required, and </w:t>
      </w:r>
      <w:r>
        <w:rPr>
          <w:rFonts w:hint="default"/>
          <w:highlight w:val="none"/>
          <w:lang w:val="en-US" w:eastAsia="zh-CN"/>
        </w:rPr>
        <w:t xml:space="preserve">instead </w:t>
      </w:r>
      <w:r>
        <w:rPr>
          <w:rFonts w:hint="eastAsia"/>
          <w:highlight w:val="none"/>
          <w:lang w:val="en-US" w:eastAsia="zh-CN"/>
        </w:rPr>
        <w:t xml:space="preserve">aims to maximize service coverage with a specified number of facilities. A recent study applied the MCLP to optimize fire station locations in Shanghai by incorporating factors such as land use, population, building density, and fire incidents, showing that 100 stations could cover 90% of demand and 150 could achieve full coverage </w:t>
      </w:r>
      <w:r>
        <w:rPr>
          <w:highlight w:val="yellow"/>
          <w:lang w:val="en-US" w:eastAsia="zh-CN"/>
        </w:rPr>
        <w:fldChar w:fldCharType="begin"/>
      </w:r>
      <w:r>
        <w:rPr>
          <w:rFonts w:hint="eastAsia"/>
          <w:highlight w:val="yellow"/>
          <w:lang w:val="en-US" w:eastAsia="zh-CN"/>
        </w:rPr>
        <w:instrText xml:space="preserve"> ADDIN ZOTERO_ITEM CSL_CITATION {"citationID":"6jQoE1bZ","properties":{"formattedCitation":"(He &lt;i&gt;et al.&lt;/i&gt;, 2024)","plainCitation":"(He et al., 2024)","noteIndex":0},"citationItems":[{"id":"p9WZ4uIC/YUA30vAj","uris":["http://zotero.org/users/14687918/items/56XJ2V3I"],"itemData":{"id":235,"type":"article-journal","abstract":"With the rapid development of urbanization in China, the gap between urban and rural areas is decreasing. The traditional approach of constructing fire stations based on urban built-up areas is no longer suitable for the needs of modern fire rescue. Therefore, a comprehensive fire station location model is proposed based on fire risk assessment. This method divides the protected area units based on the urban road network. By evaluating different regions based on spatial position, land attributes, population density, floor area ratio, and fire incident indicators, the fire rescue risk levels and categorize regions into four risk levels are assessed. Corresponding response times were determined, and an objective model was developed to maximize the coverage area for fire response. The Baidu API was utilized to accurately calculate driving distances and times, and Gurobi optimization software was used to solve the model. Taking Shanghai as an example, the fire station location and layout from two perspectives—re-planning based on overall station placement and re-planning based on existing stations—were analyzed. The results suggest that constructing around 150 fire stations in Shanghai would effectively meet the fire rescue needs, which aligns with the actual situation in Shanghai and demonstrates the strong applicability of this model. This approach enables the meeting of new demand for fire station construction due to the significant increase in the coverage area while effectively utilizing firefighting resources.","container-title":"Applied Sciences","DOI":"10.3390/app14052052","ISSN":"2076-3417","issue":"5","language":"en","license":"http://creativecommons.org/licenses/by/3.0/","note":"number: 5\npublisher: Multidisciplinary Digital Publishing Institute","page":"2052","source":"www.mdpi.com","title":"Research on Chinese Fire Station Optimal Location Model Based on Fire Risk Statistics: Case Study in Shanghai","title-short":"Research on Chinese Fire Station Optimal Location Model Based on Fire Risk Statistics","volume":"14","author":[{"family":"He","given":"Qize"},{"family":"Xue","given":"Lin"},{"family":"Yang","given":"Yun"},{"family":"Ding","given":"Pengfei"},{"family":"Liu","given":"Min"}],"issued":{"date-parts":[["2024",1]]}}}],"schema":"https://github.com/citation-style-language/schema/raw/master/csl-citation.json"} </w:instrText>
      </w:r>
      <w:r>
        <w:rPr>
          <w:highlight w:val="yellow"/>
          <w:lang w:val="en-US" w:eastAsia="zh-CN"/>
        </w:rPr>
        <w:fldChar w:fldCharType="separate"/>
      </w:r>
      <w:r>
        <w:t xml:space="preserve">(He </w:t>
      </w:r>
      <w:r>
        <w:rPr>
          <w:i/>
        </w:rPr>
        <w:t>et al.</w:t>
      </w:r>
      <w:r>
        <w:t>, 2024)</w:t>
      </w:r>
      <w:r>
        <w:rPr>
          <w:highlight w:val="yellow"/>
          <w:lang w:val="en-US" w:eastAsia="zh-CN"/>
        </w:rPr>
        <w:fldChar w:fldCharType="end"/>
      </w:r>
      <w:r>
        <w:rPr>
          <w:highlight w:val="none"/>
          <w:lang w:val="en-US" w:eastAsia="zh-CN"/>
        </w:rPr>
        <w:t>.</w:t>
      </w:r>
      <w:r>
        <w:rPr>
          <w:rFonts w:hint="default"/>
          <w:highlight w:val="none"/>
          <w:lang w:val="en-US" w:eastAsia="zh-CN"/>
        </w:rPr>
        <w:t xml:space="preserve"> </w:t>
      </w:r>
    </w:p>
    <w:p w14:paraId="3335EFA9">
      <w:pPr>
        <w:spacing w:line="240" w:lineRule="auto"/>
        <w:rPr>
          <w:highlight w:val="yellow"/>
          <w:lang w:val="en-US" w:eastAsia="zh-CN"/>
        </w:rPr>
      </w:pPr>
    </w:p>
    <w:p w14:paraId="2CA31624">
      <w:pPr>
        <w:spacing w:line="240" w:lineRule="auto"/>
        <w:rPr>
          <w:highlight w:val="yellow"/>
          <w:lang w:val="en-US" w:eastAsia="zh-CN"/>
        </w:rPr>
      </w:pPr>
      <w:r>
        <w:rPr>
          <w:highlight w:val="none"/>
          <w:lang w:val="en-US" w:eastAsia="zh-CN"/>
        </w:rPr>
        <w:t>However, no model is without limitations.</w:t>
      </w:r>
      <w:r>
        <w:rPr>
          <w:rFonts w:hint="eastAsia"/>
          <w:highlight w:val="none"/>
          <w:lang w:val="en-US" w:eastAsia="zh-CN"/>
        </w:rPr>
        <w:t xml:space="preserve"> Accessibility-based models do not directly account for service coverage, meaning that some demand </w:t>
      </w:r>
      <w:r>
        <w:rPr>
          <w:rFonts w:hint="default"/>
          <w:highlight w:val="none"/>
          <w:lang w:val="en-US" w:eastAsia="zh-CN"/>
        </w:rPr>
        <w:t>area</w:t>
      </w:r>
      <w:r>
        <w:rPr>
          <w:rFonts w:hint="eastAsia"/>
          <w:highlight w:val="none"/>
          <w:lang w:val="en-US" w:eastAsia="zh-CN"/>
        </w:rPr>
        <w:t>s may fall outside the specified service threshold. In contrast, coverage-based models typically treat all covered locations as equally desirable, thereby overlooking variations in spatial accessibility within the service area. Both objectives are critical to fire station planning, but few studies consider them simultaneously</w:t>
      </w:r>
      <w:r>
        <w:rPr>
          <w:rFonts w:hint="default"/>
          <w:highlight w:val="none"/>
          <w:lang w:val="en-US" w:eastAsia="zh-CN"/>
        </w:rPr>
        <w:t xml:space="preserve"> </w:t>
      </w:r>
      <w:r>
        <w:rPr>
          <w:color w:val="000000" w:themeColor="text1"/>
          <w:highlight w:val="none"/>
          <w:lang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ADDIN ZOTERO_ITEM CSL_CITATION {"citationID":"kYL2wyVb","properties":{"unsorted":false,"formattedCitation":"(Church, Current and Storbeck, 1991; Yao, Zhang and Murray, 2019)","plainCitation":"(Church, Current and Storbeck, 1991; Yao, Zhang and Murray, 2019)","noteIndex":0},"citationItems":[{"id":375,"uris":["http://zotero.org/users/14687918/items/763VFMJM"],"itemData":{"id":375,"type":"article-journal","abstract":"There have been many applications of the maximal covering location problem (MCLP). An underlying assumption of the MCLP is that demand not covered (i.e., not within a prespecified maximal distance of a facility) is not served. This may be an unrealistic assumption in many location planning scenarios, especially in the public sector. For example, in cases such as fire protection or ambulance service, calls not technically covered will still be serviced. The MCLP, however, does not consider the distances or travel times necessary to service such demand.\n            \n              This paper presents a bicriterion locational covering model which explicitly considers the travel distance or time necessary to service demand not within the maximal covering distance of a facility. The model may be used to generate noninferior (Pareto optimal) siting configurations which demonstrate the inherent trade‐offs between a siting scheme designed to maximize total coverage and one designed to minimize total travel time for uncovered demand to reach its nearest facility. In addition, it is shown that for any particular weighting scheme on the two objectives, the problem can be solved as a\n              p\n              ‐median problem; a problem for which several efficient solution methods exist.","container-title":"Decision Sciences","DOI":"10.1111/j.1540-5915.1991.tb01260.x","ISSN":"0011-7315, 1540-5915","issue":"1","journalAbbreviation":"Decision Sciences","language":"en","page":"38-52","source":"DOI.org (Crossref)","title":"A Bicriterion Maximal Covering Location Formulation Which Considers the Satisfaction of Uncovered Demand","volume":"22","author":[{"family":"Church","given":"Richard"},{"family":"Current","given":"John"},{"family":"Storbeck","given":"James"}],"issued":{"date-parts":[["1991",1]]}}},{"id":"p9WZ4uIC/geHSIOin","uris":["http://zotero.org/users/14687918/items/MYUJNZ72"],"itemData":{"id":"p9WZ4uIC/geHSIOin","type":"article-journal","abstract":"Fire and rescue services are among the most critical public services provided by governments to protect people, property and the environment from fires and other emergencies. Efficient deployment of fire stations is essential to ensure timely response to calls for service. Given the geographic nature of such problems, spatial optimization approaches have long been employed in public facility location modeling along these lines. In particular, median and coverage approaches have been widely adopted to help achieve travel-cost and service-coverage goals, respectively. This paper proposes a bi-objective spatial optimization model that integrates coverage and median goals in the service of demand areas. Based on the properties of derived objective functions, we presented a constraint-based solution procedure to generate the Pareto frontier, enabling the identification of alternative fire station siting scenarios. The developed model is applied to an empirical study that seeks to identify the best fire station locations in Nanjing, China. The results demonstrate the value of spatial optimization in assisting fire station planning and rescue resource deployment, highlighting important policy implications.","container-title":"Computers, Environment and Urban Systems","DOI":"10.1016/j.compenvurbsys.2018.10.006","ISSN":"0198-9715","journalAbbreviation":"Computers, Environment and Urban Systems","page":"184-190","source":"ScienceDirect","title":"Location optimization of urban fire stations: Access and service coverage","title-short":"Location optimization of urban fire stations","volume":"73","author":[{"family":"Yao","given":"Jing"},{"family":"Zhang","given":"Xiaoxiang"},{"family":"Murray","given":"Alan T."}],"issued":{"date-parts":[["2019",1,1]]}}}],"schema":"https://github.com/citation-style-language/schema/raw/master/csl-citation.json"} </w:instrText>
      </w:r>
      <w:r>
        <w:rPr>
          <w:color w:val="000000" w:themeColor="text1"/>
          <w:highlight w:val="none"/>
          <w:lang w:eastAsia="zh-CN"/>
          <w14:textFill>
            <w14:solidFill>
              <w14:schemeClr w14:val="tx1"/>
            </w14:solidFill>
          </w14:textFill>
        </w:rPr>
        <w:fldChar w:fldCharType="separate"/>
      </w:r>
      <w:r>
        <w:t>(Church, Current and Storbeck, 1991; Yao, Zhang and Murray, 2019)</w:t>
      </w:r>
      <w:r>
        <w:rPr>
          <w:color w:val="000000" w:themeColor="text1"/>
          <w:highlight w:val="none"/>
          <w:lang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 Moreover</w:t>
      </w:r>
      <w:r>
        <w:rPr>
          <w:rFonts w:hint="default"/>
          <w:highlight w:val="none"/>
          <w:lang w:val="en-US" w:eastAsia="zh-CN"/>
        </w:rPr>
        <w:t xml:space="preserve">, many models ignore existing fire stations and optimize new locations without considering the current network </w:t>
      </w:r>
      <w:r>
        <w:rPr>
          <w:highlight w:val="yellow"/>
          <w:lang w:val="en-US" w:eastAsia="zh-CN"/>
        </w:rPr>
        <w:fldChar w:fldCharType="begin"/>
      </w:r>
      <w:r>
        <w:rPr>
          <w:rFonts w:hint="eastAsia"/>
          <w:highlight w:val="yellow"/>
          <w:lang w:val="en-US" w:eastAsia="zh-CN"/>
        </w:rPr>
        <w:instrText xml:space="preserve"> ADDIN ZOTERO_ITEM CSL_CITATION {"citationID":"ouNq2X1D","properties":{"formattedCitation":"(Schilling &lt;i&gt;et al.&lt;/i&gt;, 1980)","plainCitation":"(Schilling et al., 1980)","noteIndex":0},"citationItems":[{"id":"p9WZ4uIC/zZAbY78g","uris":["http://zotero.org/users/14687918/items/GLFTLWHX"],"itemData":{"id":247,"type":"article-journal","container-title":"European Journal of Operational Research","DOI":"10.1016/0377-2217(80)90067-3","ISSN":"03772217","issue":"1","journalAbbreviation":"European Journal of Operational Research","language":"en","license":"https://www.elsevier.com/tdm/userlicense/1.0/","page":"1-7","source":"DOI.org (Crossref)","title":"Some models for fire protection locational decisions","volume":"5","author":[{"family":"Schilling","given":"David A."},{"family":"Revelle","given":"Charles"},{"family":"Cohon","given":"Jared"},{"family":"Elzinga","given":"D.Jack"}],"issued":{"date-parts":[["1980",7]]}}}],"schema":"https://github.com/citation-style-language/schema/raw/master/csl-citation.json"} </w:instrText>
      </w:r>
      <w:r>
        <w:rPr>
          <w:highlight w:val="yellow"/>
          <w:lang w:val="en-US" w:eastAsia="zh-CN"/>
        </w:rPr>
        <w:fldChar w:fldCharType="separate"/>
      </w:r>
      <w:r>
        <w:t xml:space="preserve">(Schilling </w:t>
      </w:r>
      <w:r>
        <w:rPr>
          <w:i/>
        </w:rPr>
        <w:t>et al.</w:t>
      </w:r>
      <w:r>
        <w:t>, 1980)</w:t>
      </w:r>
      <w:r>
        <w:rPr>
          <w:highlight w:val="yellow"/>
          <w:lang w:val="en-US" w:eastAsia="zh-CN"/>
        </w:rPr>
        <w:fldChar w:fldCharType="end"/>
      </w:r>
      <w:r>
        <w:rPr>
          <w:highlight w:val="none"/>
          <w:lang w:val="en-US" w:eastAsia="zh-CN"/>
        </w:rPr>
        <w:t xml:space="preserve">. </w:t>
      </w:r>
      <w:r>
        <w:rPr>
          <w:rFonts w:hint="eastAsia"/>
          <w:highlight w:val="none"/>
          <w:lang w:val="en-US" w:eastAsia="zh-CN"/>
        </w:rPr>
        <w:t>To address these limitations, this study adopts an integrated model that considers both objectives and existing fire stations.</w:t>
      </w:r>
    </w:p>
    <w:p w14:paraId="0FFEAE88">
      <w:pPr>
        <w:tabs>
          <w:tab w:val="left" w:pos="3044"/>
        </w:tabs>
        <w:spacing w:line="240" w:lineRule="auto"/>
        <w:rPr>
          <w:highlight w:val="yellow"/>
          <w:lang w:val="en-US" w:eastAsia="zh-CN"/>
        </w:rPr>
      </w:pPr>
    </w:p>
    <w:p w14:paraId="674FC8A0">
      <w:pPr>
        <w:pStyle w:val="2"/>
        <w:bidi w:val="0"/>
        <w:spacing w:line="240" w:lineRule="auto"/>
        <w:rPr>
          <w:highlight w:val="none"/>
          <w:lang w:eastAsia="zh-CN"/>
        </w:rPr>
      </w:pPr>
      <w:r>
        <w:rPr>
          <w:highlight w:val="none"/>
        </w:rPr>
        <w:t>Data</w:t>
      </w:r>
    </w:p>
    <w:p w14:paraId="16F17ADB">
      <w:pPr>
        <w:spacing w:line="240" w:lineRule="auto"/>
        <w:rPr>
          <w:highlight w:val="yellow"/>
          <w:lang w:eastAsia="zh-CN"/>
        </w:rPr>
      </w:pPr>
    </w:p>
    <w:p w14:paraId="3C9157A9">
      <w:pPr>
        <w:spacing w:line="240" w:lineRule="auto"/>
        <w:rPr>
          <w:highlight w:val="none"/>
          <w:lang w:eastAsia="zh-CN"/>
        </w:rPr>
      </w:pPr>
      <w:r>
        <w:rPr>
          <w:rFonts w:hint="eastAsia"/>
          <w:highlight w:val="none"/>
          <w:lang w:val="en-US" w:eastAsia="zh-CN"/>
        </w:rPr>
        <w:t>In this study, the centroids of Output Areas (OAs) were used as demand points, with population data obtained for each OA. OAs represent the finest spatial scale at which population data are available, typically containing 40–250 households. The centroids of Middle layer Super Output Areas (MSOAs), which typically contain 2000–6000 households, were used as candidate sites for new fire stations.</w:t>
      </w:r>
      <w:r>
        <w:rPr>
          <w:rFonts w:hint="default"/>
          <w:highlight w:val="none"/>
          <w:lang w:val="en-US" w:eastAsia="zh-CN"/>
        </w:rPr>
        <w:t xml:space="preserve"> </w:t>
      </w:r>
      <w:r>
        <w:rPr>
          <w:highlight w:val="none"/>
          <w:lang w:eastAsia="zh-CN"/>
        </w:rPr>
        <w:t>Historical fire incident data for the last ten years (2015-2024) w</w:t>
      </w:r>
      <w:r>
        <w:rPr>
          <w:rFonts w:hint="eastAsia"/>
          <w:highlight w:val="none"/>
          <w:lang w:val="en-US" w:eastAsia="zh-CN"/>
        </w:rPr>
        <w:t>ere</w:t>
      </w:r>
      <w:r>
        <w:rPr>
          <w:highlight w:val="none"/>
          <w:lang w:eastAsia="zh-CN"/>
        </w:rPr>
        <w:t xml:space="preserve"> </w:t>
      </w:r>
      <w:r>
        <w:rPr>
          <w:rFonts w:hint="default"/>
          <w:highlight w:val="none"/>
          <w:lang w:val="en-US" w:eastAsia="zh-CN"/>
        </w:rPr>
        <w:t xml:space="preserve">also </w:t>
      </w:r>
      <w:r>
        <w:rPr>
          <w:rFonts w:hint="eastAsia"/>
          <w:highlight w:val="none"/>
          <w:lang w:val="en-US" w:eastAsia="zh-CN"/>
        </w:rPr>
        <w:t>used</w:t>
      </w:r>
      <w:r>
        <w:rPr>
          <w:highlight w:val="none"/>
          <w:lang w:eastAsia="zh-CN"/>
        </w:rPr>
        <w:t xml:space="preserve">. </w:t>
      </w:r>
      <w:r>
        <w:rPr>
          <w:rFonts w:hint="eastAsia"/>
          <w:highlight w:val="none"/>
          <w:lang w:eastAsia="zh-CN"/>
        </w:rPr>
        <w:t>These datasets were obtained from London Datastore</w:t>
      </w:r>
      <w:r>
        <w:rPr>
          <w:rFonts w:hint="eastAsia"/>
          <w:highlight w:val="none"/>
          <w:lang w:val="en-US" w:eastAsia="zh-CN"/>
        </w:rPr>
        <w:t xml:space="preserve"> </w:t>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"https://data.london.gov.uk/" </w:instrText>
      </w:r>
      <w:r>
        <w:rPr>
          <w:rFonts w:hint="default"/>
          <w:highlight w:val="none"/>
          <w:lang w:val="en-US" w:eastAsia="zh-CN"/>
        </w:rPr>
        <w:fldChar w:fldCharType="separate"/>
      </w:r>
      <w:r>
        <w:rPr>
          <w:rStyle w:val="18"/>
          <w:rFonts w:hint="default"/>
          <w:highlight w:val="none"/>
          <w:lang w:val="en-US" w:eastAsia="zh-CN"/>
        </w:rPr>
        <w:t>https://data.london.gov.uk/</w:t>
      </w:r>
      <w:r>
        <w:rPr>
          <w:rFonts w:hint="default"/>
          <w:highlight w:val="none"/>
          <w:lang w:val="en-US" w:eastAsia="zh-CN"/>
        </w:rPr>
        <w:fldChar w:fldCharType="end"/>
      </w:r>
      <w:r>
        <w:rPr>
          <w:rFonts w:hint="default"/>
          <w:highlight w:val="none"/>
          <w:lang w:val="en-US" w:eastAsia="zh-CN"/>
        </w:rPr>
        <w:t>)</w:t>
      </w:r>
      <w:r>
        <w:rPr>
          <w:rFonts w:hint="eastAsia"/>
          <w:highlight w:val="none"/>
          <w:lang w:eastAsia="zh-CN"/>
        </w:rPr>
        <w:t>.</w:t>
      </w:r>
      <w:r>
        <w:rPr>
          <w:rFonts w:hint="eastAsia"/>
          <w:highlight w:val="none"/>
          <w:lang w:val="en-US" w:eastAsia="zh-CN"/>
        </w:rPr>
        <w:t xml:space="preserve"> In addition</w:t>
      </w:r>
      <w:r>
        <w:rPr>
          <w:highlight w:val="none"/>
          <w:lang w:val="en-US" w:eastAsia="zh-CN"/>
        </w:rPr>
        <w:t xml:space="preserve">, </w:t>
      </w:r>
      <w:r>
        <w:rPr>
          <w:highlight w:val="none"/>
          <w:lang w:eastAsia="zh-CN"/>
        </w:rPr>
        <w:t>the locations of existing fire stations were</w:t>
      </w:r>
      <w:r>
        <w:rPr>
          <w:rFonts w:hint="eastAsia"/>
          <w:highlight w:val="none"/>
          <w:lang w:eastAsia="zh-CN"/>
        </w:rPr>
        <w:t xml:space="preserve"> </w:t>
      </w:r>
      <w:r>
        <w:rPr>
          <w:highlight w:val="none"/>
          <w:lang w:eastAsia="zh-CN"/>
        </w:rPr>
        <w:t>sourced from</w:t>
      </w:r>
      <w:r>
        <w:rPr>
          <w:rFonts w:hint="eastAsia"/>
          <w:highlight w:val="none"/>
          <w:lang w:val="en-US" w:eastAsia="zh-CN"/>
        </w:rPr>
        <w:t xml:space="preserve"> UK Fire Stations</w:t>
      </w:r>
      <w:r>
        <w:rPr>
          <w:highlight w:val="none"/>
          <w:lang w:eastAsia="zh-CN"/>
        </w:rPr>
        <w:t xml:space="preserve"> </w:t>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"https://www.ukfirestations.co.uk/stations/london/" </w:instrText>
      </w:r>
      <w:r>
        <w:rPr>
          <w:rFonts w:hint="default"/>
          <w:highlight w:val="none"/>
          <w:lang w:val="en-US" w:eastAsia="zh-CN"/>
        </w:rPr>
        <w:fldChar w:fldCharType="separate"/>
      </w:r>
      <w:r>
        <w:rPr>
          <w:rStyle w:val="18"/>
          <w:rFonts w:hint="default"/>
          <w:highlight w:val="none"/>
          <w:lang w:val="en-US" w:eastAsia="zh-CN"/>
        </w:rPr>
        <w:t>https://www.ukfirestations.co.uk/stations/london/</w:t>
      </w:r>
      <w:r>
        <w:rPr>
          <w:rFonts w:hint="default"/>
          <w:highlight w:val="none"/>
          <w:lang w:val="en-US" w:eastAsia="zh-CN"/>
        </w:rPr>
        <w:fldChar w:fldCharType="end"/>
      </w:r>
      <w:r>
        <w:rPr>
          <w:rStyle w:val="18"/>
          <w:rFonts w:hint="default"/>
          <w:color w:val="000000" w:themeColor="text1"/>
          <w:highlight w:val="none"/>
          <w:lang w:val="en-US" w:eastAsia="zh-CN"/>
          <w14:textFill>
            <w14:solidFill>
              <w14:schemeClr w14:val="tx1"/>
            </w14:solidFill>
          </w14:textFill>
        </w:rPr>
        <w:t>)</w:t>
      </w:r>
      <w:r>
        <w:rPr>
          <w:highlight w:val="none"/>
          <w:lang w:eastAsia="zh-CN"/>
        </w:rPr>
        <w:t>.</w:t>
      </w:r>
    </w:p>
    <w:p w14:paraId="2F74203D">
      <w:pPr>
        <w:spacing w:line="240" w:lineRule="auto"/>
        <w:rPr>
          <w:highlight w:val="yellow"/>
          <w:lang w:val="en-US" w:eastAsia="zh-CN"/>
        </w:rPr>
      </w:pPr>
    </w:p>
    <w:p w14:paraId="1360199D">
      <w:pPr>
        <w:spacing w:line="240" w:lineRule="auto"/>
        <w:rPr>
          <w:highlight w:val="none"/>
          <w:lang w:val="en-US" w:eastAsia="zh-CN"/>
        </w:rPr>
      </w:pPr>
      <w:r>
        <w:rPr>
          <w:highlight w:val="none"/>
          <w:lang w:eastAsia="zh-CN"/>
        </w:rPr>
        <w:t>After obtaining the data</w:t>
      </w:r>
      <w:r>
        <w:rPr>
          <w:rFonts w:hint="default"/>
          <w:highlight w:val="none"/>
          <w:lang w:val="en-US" w:eastAsia="zh-CN"/>
        </w:rPr>
        <w:t>sets</w:t>
      </w:r>
      <w:r>
        <w:rPr>
          <w:highlight w:val="none"/>
          <w:lang w:val="en-US" w:eastAsia="zh-CN"/>
        </w:rPr>
        <w:t xml:space="preserve">, </w:t>
      </w:r>
      <w:r>
        <w:rPr>
          <w:rFonts w:hint="eastAsia"/>
          <w:highlight w:val="none"/>
          <w:lang w:val="en-US" w:eastAsia="zh-CN"/>
        </w:rPr>
        <w:t>f</w:t>
      </w:r>
      <w:r>
        <w:rPr>
          <w:highlight w:val="none"/>
          <w:lang w:val="en-US" w:eastAsia="zh-CN"/>
        </w:rPr>
        <w:t xml:space="preserve">ire risk was </w:t>
      </w:r>
      <w:r>
        <w:rPr>
          <w:rFonts w:hint="default"/>
          <w:highlight w:val="none"/>
          <w:lang w:val="en-US" w:eastAsia="zh-CN"/>
        </w:rPr>
        <w:t>estimated</w:t>
      </w:r>
      <w:r>
        <w:rPr>
          <w:highlight w:val="none"/>
          <w:lang w:val="en-US" w:eastAsia="zh-CN"/>
        </w:rPr>
        <w:t xml:space="preserve"> by calculating the number of fire incidents per thousand residents in each OA. </w:t>
      </w:r>
      <w:r>
        <w:rPr>
          <w:rFonts w:hint="default"/>
          <w:highlight w:val="none"/>
          <w:lang w:val="en-US" w:eastAsia="zh-CN"/>
        </w:rPr>
        <w:t>B</w:t>
      </w:r>
      <w:r>
        <w:rPr>
          <w:rFonts w:hint="eastAsia"/>
          <w:highlight w:val="none"/>
          <w:lang w:val="en-US" w:eastAsia="zh-CN"/>
        </w:rPr>
        <w:t xml:space="preserve">ased on the guideline that the first fire engine should arrive within six minutes </w:t>
      </w:r>
      <w:r>
        <w:rPr>
          <w:highlight w:val="none"/>
          <w:lang w:val="en-US" w:eastAsia="zh-CN"/>
        </w:rPr>
        <w:fldChar w:fldCharType="begin"/>
      </w:r>
      <w:r>
        <w:rPr>
          <w:rFonts w:hint="eastAsia"/>
          <w:highlight w:val="none"/>
          <w:lang w:val="en-US" w:eastAsia="zh-CN"/>
        </w:rPr>
        <w:instrText xml:space="preserve"> ADDIN ZOTERO_ITEM CSL_CITATION {"citationID":"Wir3i9MH","properties":{"formattedCitation":"(London Fire Brigade, 2008)","plainCitation":"(London Fire Brigade, 2008)","noteIndex":0},"citationItems":[{"id":"p9WZ4uIC/LnrT0d3n","uris":["http://zotero.org/users/14687918/items/E2B39EZB"],"itemData":{"id":222,"type":"webpage","language":"en","title":"Third London Safety Plan","URL":"https://www.london-fire.gov.uk/media/4847/third_london_safety_plan_2008-2011-1.pdf","author":[{"literal":"London Fire Brigade"}],"issued":{"date-parts":[["2008"]]}}}],"schema":"https://github.com/citation-style-language/schema/raw/master/csl-citation.json"} </w:instrText>
      </w:r>
      <w:r>
        <w:rPr>
          <w:highlight w:val="none"/>
          <w:lang w:val="en-US" w:eastAsia="zh-CN"/>
        </w:rPr>
        <w:fldChar w:fldCharType="separate"/>
      </w:r>
      <w:r>
        <w:rPr>
          <w:highlight w:val="none"/>
          <w:lang w:val="en-US" w:eastAsia="zh-CN"/>
        </w:rPr>
        <w:t>(London Fire Brigade, 2008)</w:t>
      </w:r>
      <w:r>
        <w:rPr>
          <w:highlight w:val="none"/>
          <w:lang w:val="en-US" w:eastAsia="zh-CN"/>
        </w:rPr>
        <w:fldChar w:fldCharType="end"/>
      </w:r>
      <w:r>
        <w:rPr>
          <w:rFonts w:hint="default"/>
          <w:highlight w:val="none"/>
          <w:lang w:val="en-US" w:eastAsia="zh-CN"/>
        </w:rPr>
        <w:t xml:space="preserve">, a 3 km radius was adopted as the service standard in this study. </w:t>
      </w:r>
      <w:r>
        <w:rPr>
          <w:rFonts w:hint="eastAsia"/>
          <w:highlight w:val="none"/>
          <w:lang w:val="en-US" w:eastAsia="zh-CN"/>
        </w:rPr>
        <w:t>The spatial distributions of fire risk and service coverage are shown in</w:t>
      </w:r>
      <w:r>
        <w:rPr>
          <w:rFonts w:hint="default"/>
          <w:highlight w:val="none"/>
          <w:lang w:val="en-US" w:eastAsia="zh-CN"/>
        </w:rPr>
        <w:t xml:space="preserve"> </w:t>
      </w:r>
      <w:r>
        <w:rPr>
          <w:rFonts w:hint="default"/>
          <w:b/>
          <w:bCs/>
          <w:highlight w:val="none"/>
          <w:lang w:val="en-US" w:eastAsia="zh-CN"/>
        </w:rPr>
        <w:fldChar w:fldCharType="begin"/>
      </w:r>
      <w:r>
        <w:rPr>
          <w:rFonts w:hint="default"/>
          <w:b/>
          <w:bCs/>
          <w:highlight w:val="none"/>
          <w:lang w:val="en-US" w:eastAsia="zh-CN"/>
        </w:rPr>
        <w:instrText xml:space="preserve"> REF _Ref766249743 \h </w:instrText>
      </w:r>
      <w:r>
        <w:rPr>
          <w:rFonts w:hint="default"/>
          <w:b/>
          <w:bCs/>
          <w:highlight w:val="none"/>
          <w:lang w:val="en-US" w:eastAsia="zh-CN"/>
        </w:rPr>
        <w:fldChar w:fldCharType="separate"/>
      </w:r>
      <w:r>
        <w:rPr>
          <w:rFonts w:hint="default" w:ascii="Times New Roman Bold" w:hAnsi="Times New Roman Bold" w:cs="Times New Roman Bold"/>
          <w:b/>
          <w:bCs/>
        </w:rPr>
        <w:t>Figure 1</w:t>
      </w:r>
      <w:r>
        <w:rPr>
          <w:rFonts w:hint="default"/>
          <w:b/>
          <w:bCs/>
          <w:highlight w:val="none"/>
          <w:lang w:val="en-US" w:eastAsia="zh-CN"/>
        </w:rPr>
        <w:fldChar w:fldCharType="end"/>
      </w:r>
      <w:r>
        <w:rPr>
          <w:highlight w:val="none"/>
          <w:lang w:val="en-US" w:eastAsia="zh-CN"/>
        </w:rPr>
        <w:t>.</w:t>
      </w:r>
    </w:p>
    <w:p w14:paraId="4CCE875D">
      <w:pPr>
        <w:spacing w:line="240" w:lineRule="auto"/>
        <w:rPr>
          <w:highlight w:val="yellow"/>
          <w:lang w:eastAsia="zh-CN"/>
        </w:rPr>
      </w:pPr>
    </w:p>
    <w:p w14:paraId="4B01D9F2">
      <w:pPr>
        <w:spacing w:line="240" w:lineRule="auto"/>
        <w:rPr>
          <w:rFonts w:hint="eastAsia"/>
          <w:highlight w:val="none"/>
          <w:lang w:eastAsia="zh-CN"/>
        </w:rPr>
      </w:pPr>
      <w:r>
        <w:rPr>
          <w:highlight w:val="none"/>
          <w:lang w:eastAsia="zh-CN"/>
        </w:rPr>
        <w:t xml:space="preserve">The London Borough of Hillingdon was chosen as the study area due to its high fire risk </w:t>
      </w:r>
      <w:r>
        <w:rPr>
          <w:rFonts w:hint="eastAsia"/>
          <w:highlight w:val="none"/>
          <w:lang w:eastAsia="zh-CN"/>
        </w:rPr>
        <w:t>and obvious coverage gaps</w:t>
      </w:r>
      <w:r>
        <w:rPr>
          <w:rFonts w:hint="default"/>
          <w:highlight w:val="none"/>
          <w:lang w:val="en-US" w:eastAsia="zh-CN"/>
        </w:rPr>
        <w:t xml:space="preserve">, as shown in </w:t>
      </w:r>
      <w:r>
        <w:rPr>
          <w:rFonts w:hint="eastAsia"/>
          <w:b/>
          <w:bCs/>
          <w:highlight w:val="none"/>
          <w:lang w:eastAsia="zh-CN"/>
        </w:rPr>
        <w:fldChar w:fldCharType="begin"/>
      </w:r>
      <w:r>
        <w:rPr>
          <w:rFonts w:hint="eastAsia"/>
          <w:b/>
          <w:bCs/>
          <w:highlight w:val="none"/>
          <w:lang w:eastAsia="zh-CN"/>
        </w:rPr>
        <w:instrText xml:space="preserve"> REF _Ref766249743 \h </w:instrText>
      </w:r>
      <w:r>
        <w:rPr>
          <w:rFonts w:hint="eastAsia"/>
          <w:b/>
          <w:bCs/>
          <w:highlight w:val="none"/>
          <w:lang w:eastAsia="zh-CN"/>
        </w:rPr>
        <w:fldChar w:fldCharType="separate"/>
      </w:r>
      <w:r>
        <w:rPr>
          <w:rFonts w:hint="default" w:ascii="Times New Roman Bold" w:hAnsi="Times New Roman Bold" w:cs="Times New Roman Bold"/>
          <w:b/>
          <w:bCs/>
        </w:rPr>
        <w:t>Figure 1</w:t>
      </w:r>
      <w:r>
        <w:rPr>
          <w:rFonts w:hint="eastAsia"/>
          <w:b/>
          <w:bCs/>
          <w:highlight w:val="none"/>
          <w:lang w:eastAsia="zh-CN"/>
        </w:rPr>
        <w:fldChar w:fldCharType="end"/>
      </w:r>
      <w:r>
        <w:rPr>
          <w:highlight w:val="none"/>
          <w:lang w:eastAsia="zh-CN"/>
        </w:rPr>
        <w:t>.</w:t>
      </w:r>
      <w:r>
        <w:rPr>
          <w:highlight w:val="none"/>
        </w:rPr>
        <w:t xml:space="preserve"> </w:t>
      </w:r>
      <w:r>
        <w:rPr>
          <w:rFonts w:hint="eastAsia"/>
          <w:highlight w:val="none"/>
          <w:lang w:eastAsia="zh-CN"/>
        </w:rPr>
        <w:t xml:space="preserve">The </w:t>
      </w:r>
      <w:r>
        <w:rPr>
          <w:rFonts w:hint="eastAsia"/>
          <w:highlight w:val="none"/>
          <w:lang w:val="en-US" w:eastAsia="zh-CN"/>
        </w:rPr>
        <w:t>area</w:t>
      </w:r>
      <w:r>
        <w:rPr>
          <w:rFonts w:hint="eastAsia"/>
          <w:highlight w:val="none"/>
          <w:lang w:eastAsia="zh-CN"/>
        </w:rPr>
        <w:t xml:space="preserve"> contains 789 demand units and four existing fire stations. Currently, 75% of demand units are covered, leaving 195 uncovered. The candidate location set consists of 36 sites, including </w:t>
      </w:r>
      <w:r>
        <w:rPr>
          <w:rFonts w:hint="default"/>
          <w:highlight w:val="none"/>
          <w:lang w:val="en-US" w:eastAsia="zh-CN"/>
        </w:rPr>
        <w:t>four</w:t>
      </w:r>
      <w:r>
        <w:rPr>
          <w:rFonts w:hint="eastAsia"/>
          <w:highlight w:val="none"/>
          <w:lang w:eastAsia="zh-CN"/>
        </w:rPr>
        <w:t xml:space="preserve"> existing fire stations and 32 MSOA centroids.</w:t>
      </w:r>
    </w:p>
    <w:p w14:paraId="38231144">
      <w:pPr>
        <w:spacing w:line="240" w:lineRule="auto"/>
        <w:rPr>
          <w:rFonts w:hint="eastAsia"/>
          <w:highlight w:val="none"/>
          <w:lang w:eastAsia="zh-CN"/>
        </w:rPr>
      </w:pPr>
    </w:p>
    <w:p w14:paraId="3C10E5D7">
      <w:pPr>
        <w:spacing w:line="240" w:lineRule="auto"/>
        <w:rPr>
          <w:rFonts w:hint="eastAsia"/>
          <w:highlight w:val="none"/>
          <w:lang w:val="en-US" w:eastAsia="zh-CN"/>
        </w:rPr>
      </w:pPr>
      <w:r>
        <w:rPr>
          <w:rFonts w:hint="eastAsia"/>
          <w:highlight w:val="none"/>
          <w:lang w:val="en-US" w:eastAsia="zh-CN"/>
        </w:rPr>
        <w:drawing>
          <wp:inline distT="0" distB="0" distL="114300" distR="114300">
            <wp:extent cx="5754370" cy="4794885"/>
            <wp:effectExtent l="0" t="0" r="11430" b="5715"/>
            <wp:docPr id="6" name="图片 6" descr="/Users/yezhen/Desktop/项目/空间优化/figure/study_area.pngstudy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yezhen/Desktop/项目/空间优化/figure/study_area.pngstudy_area"/>
                    <pic:cNvPicPr>
                      <a:picLocks noChangeAspect="1"/>
                    </pic:cNvPicPr>
                  </pic:nvPicPr>
                  <pic:blipFill>
                    <a:blip r:embed="rId10"/>
                    <a:srcRect t="6" b="6"/>
                    <a:stretch>
                      <a:fillRect/>
                    </a:stretch>
                  </pic:blipFill>
                  <pic:spPr>
                    <a:xfrm>
                      <a:off x="0" y="0"/>
                      <a:ext cx="5754370" cy="4794885"/>
                    </a:xfrm>
                    <a:prstGeom prst="rect">
                      <a:avLst/>
                    </a:prstGeom>
                  </pic:spPr>
                </pic:pic>
              </a:graphicData>
            </a:graphic>
          </wp:inline>
        </w:drawing>
      </w:r>
    </w:p>
    <w:p w14:paraId="6204D47D">
      <w:pPr>
        <w:pStyle w:val="4"/>
        <w:spacing w:line="240" w:lineRule="auto"/>
        <w:rPr>
          <w:rFonts w:hint="default"/>
          <w:highlight w:val="none"/>
          <w:lang w:val="en-US" w:eastAsia="zh-CN"/>
        </w:rPr>
      </w:pPr>
      <w:bookmarkStart w:id="0" w:name="_Ref766249743"/>
      <w:r>
        <w:rPr>
          <w:rFonts w:hint="default" w:ascii="Times New Roman Bold" w:hAnsi="Times New Roman Bold" w:cs="Times New Roman Bold"/>
          <w:b/>
          <w:bCs/>
        </w:rPr>
        <w:t xml:space="preserve">Figure </w:t>
      </w:r>
      <w:r>
        <w:rPr>
          <w:rFonts w:hint="default" w:ascii="Times New Roman Bold" w:hAnsi="Times New Roman Bold" w:cs="Times New Roman Bold"/>
          <w:b/>
          <w:bCs/>
        </w:rPr>
        <w:fldChar w:fldCharType="begin"/>
      </w:r>
      <w:r>
        <w:rPr>
          <w:rFonts w:hint="default" w:ascii="Times New Roman Bold" w:hAnsi="Times New Roman Bold" w:cs="Times New Roman Bold"/>
          <w:b/>
          <w:bCs/>
        </w:rPr>
        <w:instrText xml:space="preserve"> SEQ Figure \* ARABIC </w:instrText>
      </w:r>
      <w:r>
        <w:rPr>
          <w:rFonts w:hint="default" w:ascii="Times New Roman Bold" w:hAnsi="Times New Roman Bold" w:cs="Times New Roman Bold"/>
          <w:b/>
          <w:bCs/>
        </w:rPr>
        <w:fldChar w:fldCharType="separate"/>
      </w:r>
      <w:r>
        <w:rPr>
          <w:rFonts w:hint="default" w:ascii="Times New Roman Bold" w:hAnsi="Times New Roman Bold" w:cs="Times New Roman Bold"/>
          <w:b/>
          <w:bCs/>
        </w:rPr>
        <w:t>1</w:t>
      </w:r>
      <w:r>
        <w:rPr>
          <w:rFonts w:hint="default" w:ascii="Times New Roman Bold" w:hAnsi="Times New Roman Bold" w:cs="Times New Roman Bold"/>
          <w:b/>
          <w:bCs/>
        </w:rPr>
        <w:fldChar w:fldCharType="end"/>
      </w:r>
      <w:bookmarkEnd w:id="0"/>
      <w:r>
        <w:rPr>
          <w:lang w:val="en-US"/>
        </w:rPr>
        <w:t xml:space="preserve"> Study area</w:t>
      </w:r>
    </w:p>
    <w:p w14:paraId="2B46AE15">
      <w:pPr>
        <w:spacing w:line="240" w:lineRule="auto"/>
        <w:rPr>
          <w:highlight w:val="yellow"/>
          <w:lang w:val="en-US" w:eastAsia="zh-CN"/>
        </w:rPr>
      </w:pPr>
    </w:p>
    <w:p w14:paraId="7C12FB08">
      <w:pPr>
        <w:spacing w:line="240" w:lineRule="auto"/>
        <w:rPr>
          <w:highlight w:val="yellow"/>
          <w:lang w:val="en-US" w:eastAsia="zh-CN"/>
        </w:rPr>
      </w:pPr>
    </w:p>
    <w:p w14:paraId="250C6768">
      <w:pPr>
        <w:pStyle w:val="2"/>
        <w:bidi w:val="0"/>
        <w:spacing w:line="240" w:lineRule="auto"/>
        <w:rPr>
          <w:rFonts w:hint="default" w:ascii="Times New Roman Bold" w:hAnsi="Times New Roman Bold" w:cs="Times New Roman Bold"/>
          <w:b/>
          <w:bCs/>
          <w:highlight w:val="none"/>
        </w:rPr>
      </w:pPr>
      <w:r>
        <w:rPr>
          <w:rFonts w:hint="default" w:ascii="Times New Roman Bold" w:hAnsi="Times New Roman Bold" w:cs="Times New Roman Bold"/>
          <w:b/>
          <w:bCs/>
          <w:highlight w:val="none"/>
        </w:rPr>
        <w:t>Methodology</w:t>
      </w:r>
    </w:p>
    <w:p w14:paraId="77603E16">
      <w:pPr>
        <w:spacing w:line="240" w:lineRule="auto"/>
        <w:rPr>
          <w:highlight w:val="yellow"/>
          <w:lang w:val="en-US"/>
        </w:rPr>
      </w:pPr>
    </w:p>
    <w:p w14:paraId="3DBEA1C4">
      <w:pPr>
        <w:spacing w:line="240" w:lineRule="auto"/>
        <w:rPr>
          <w:highlight w:val="none"/>
          <w:lang w:val="en-US" w:eastAsia="zh-CN"/>
        </w:rPr>
      </w:pPr>
      <w:r>
        <w:rPr>
          <w:highlight w:val="none"/>
          <w:lang w:eastAsia="zh-CN"/>
        </w:rPr>
        <w:t xml:space="preserve">To </w:t>
      </w:r>
      <w:r>
        <w:rPr>
          <w:rFonts w:hint="eastAsia"/>
          <w:highlight w:val="none"/>
          <w:lang w:eastAsia="zh-CN"/>
        </w:rPr>
        <w:t>optimize</w:t>
      </w:r>
      <w:r>
        <w:rPr>
          <w:highlight w:val="none"/>
          <w:lang w:eastAsia="zh-CN"/>
        </w:rPr>
        <w:t xml:space="preserve"> both accessibility</w:t>
      </w:r>
      <w:r>
        <w:rPr>
          <w:rFonts w:hint="default"/>
          <w:highlight w:val="none"/>
          <w:lang w:val="en-US" w:eastAsia="zh-CN"/>
        </w:rPr>
        <w:t xml:space="preserve"> and </w:t>
      </w:r>
      <w:r>
        <w:rPr>
          <w:highlight w:val="none"/>
          <w:lang w:eastAsia="zh-CN"/>
        </w:rPr>
        <w:t>service coverage, this study employs a method that integrates LSCP and PMP</w:t>
      </w:r>
      <w:r>
        <w:rPr>
          <w:highlight w:val="none"/>
          <w:lang w:val="en-US" w:eastAsia="zh-CN"/>
        </w:rPr>
        <w:t xml:space="preserve">, as proposed by Yao, Zhang and Murray </w:t>
      </w:r>
      <w:r>
        <w:rPr>
          <w:highlight w:val="none"/>
          <w:lang w:val="en-US" w:eastAsia="zh-CN"/>
        </w:rPr>
        <w:fldChar w:fldCharType="begin"/>
      </w:r>
      <w:r>
        <w:rPr>
          <w:rFonts w:hint="eastAsia"/>
          <w:highlight w:val="none"/>
          <w:lang w:val="en-US" w:eastAsia="zh-CN"/>
        </w:rPr>
        <w:instrText xml:space="preserve"> ADDIN ZOTERO_ITEM CSL_CITATION {"citationID":"tSY5OA7T","properties":{"formattedCitation":"(2019)","plainCitation":"(2019)","noteIndex":0},"citationItems":[{"id":"p9WZ4uIC/geHSIOin","uris":["http://zotero.org/users/14687918/items/MYUJNZ72"],"itemData":{"id":223,"type":"article-journal","abstract":"Fire and rescue services are among the most critical public services provided by governments to protect people, property and the environment from fires and other emergencies. Efficient deployment of fire stations is essential to ensure timely response to calls for service. Given the geographic nature of such problems, spatial optimization approaches have long been employed in public facility location modeling along these lines. In particular, median and coverage approaches have been widely adopted to help achieve travel-cost and service-coverage goals, respectively. This paper proposes a bi-objective spatial optimization model that integrates coverage and median goals in the service of demand areas. Based on the properties of derived objective functions, we presented a constraint-based solution procedure to generate the Pareto frontier, enabling the identification of alternative fire station siting scenarios. The developed model is applied to an empirical study that seeks to identify the best fire station locations in Nanjing, China. The results demonstrate the value of spatial optimization in assisting fire station planning and rescue resource deployment, highlighting important policy implications.","container-title":"Computers, Environment and Urban Systems","DOI":"10.1016/j.compenvurbsys.2018.10.006","ISSN":"0198-9715","journalAbbreviation":"Computers, Environment and Urban Systems","page":"184-190","source":"ScienceDirect","title":"Location optimization of urban fire stations: Access and service coverage","title-short":"Location optimization of urban fire stations","volume":"73","author":[{"family":"Yao","given":"Jing"},{"family":"Zhang","given":"Xiaoxiang"},{"family":"Murray","given":"Alan T."}],"issued":{"date-parts":[["2019",1,1]]}},"suppress-author":true}],"schema":"https://github.com/citation-style-language/schema/raw/master/csl-citation.json"} </w:instrText>
      </w:r>
      <w:r>
        <w:rPr>
          <w:highlight w:val="none"/>
          <w:lang w:val="en-US" w:eastAsia="zh-CN"/>
        </w:rPr>
        <w:fldChar w:fldCharType="separate"/>
      </w:r>
      <w:r>
        <w:rPr>
          <w:highlight w:val="none"/>
          <w:lang w:val="en-US" w:eastAsia="zh-CN"/>
        </w:rPr>
        <w:t>(2019)</w:t>
      </w:r>
      <w:r>
        <w:rPr>
          <w:highlight w:val="none"/>
          <w:lang w:val="en-US" w:eastAsia="zh-CN"/>
        </w:rPr>
        <w:fldChar w:fldCharType="end"/>
      </w:r>
      <w:r>
        <w:rPr>
          <w:highlight w:val="none"/>
          <w:lang w:val="en-US" w:eastAsia="zh-CN"/>
        </w:rPr>
        <w:t>.</w:t>
      </w:r>
      <w:r>
        <w:rPr>
          <w:rFonts w:hint="eastAsia"/>
          <w:highlight w:val="none"/>
          <w:lang w:val="en-US" w:eastAsia="zh-CN"/>
        </w:rPr>
        <w:t xml:space="preserve"> The model was chosen because it uses the LSCP rather than the MCLP to address service coverage. This feature is particularly important for this study because we consider fire rescue a fundamental life-saving service, making full coverage within the specified service range essential. </w:t>
      </w:r>
      <w:r>
        <w:rPr>
          <w:highlight w:val="none"/>
          <w:lang w:val="en-US" w:eastAsia="zh-CN"/>
        </w:rPr>
        <w:t xml:space="preserve">The model </w:t>
      </w:r>
      <w:r>
        <w:rPr>
          <w:rFonts w:hint="eastAsia"/>
          <w:highlight w:val="none"/>
          <w:lang w:val="en-US" w:eastAsia="zh-CN"/>
        </w:rPr>
        <w:t>is defined</w:t>
      </w:r>
      <w:r>
        <w:rPr>
          <w:highlight w:val="none"/>
          <w:lang w:val="en-US" w:eastAsia="zh-CN"/>
        </w:rPr>
        <w:t xml:space="preserve"> as follows:</w:t>
      </w:r>
    </w:p>
    <w:p w14:paraId="548380F8">
      <w:pPr>
        <w:spacing w:line="240" w:lineRule="auto"/>
        <w:rPr>
          <w:highlight w:val="none"/>
          <w:lang w:val="en-US" w:eastAsia="zh-CN"/>
        </w:rPr>
      </w:pPr>
    </w:p>
    <w:p w14:paraId="47C2BBB4">
      <w:pPr>
        <w:spacing w:line="240" w:lineRule="auto"/>
        <w:rPr>
          <w:rFonts w:hAnsi="Cambria Math"/>
          <w:i w:val="0"/>
          <w:highlight w:val="none"/>
          <w:lang w:val="en-US" w:eastAsia="zh-CN"/>
        </w:rPr>
      </w:pPr>
      <m:oMathPara>
        <m:oMathParaPr>
          <m:jc m:val="center"/>
        </m:oMathParaPr>
        <m:oMath>
          <m:eqArr>
            <m:eqArrPr>
              <m:maxDist m:val="1"/>
              <m:ctrlPr>
                <w:rPr>
                  <w:rFonts w:ascii="Cambria Math" w:hAnsi="Cambria Math"/>
                  <w:i/>
                  <w:highlight w:val="none"/>
                  <w:lang w:val="en-US" w:eastAsia="zh-CN"/>
                </w:rPr>
              </m:ctrlPr>
            </m:eqArrPr>
            <m:e>
              <m:r>
                <m:rPr>
                  <m:nor/>
                  <m:sty m:val="p"/>
                </m:rPr>
                <w:rPr>
                  <w:rFonts w:hint="default" w:ascii="Times New Roman" w:hAnsi="Times New Roman" w:cs="Times New Roman"/>
                  <w:b w:val="0"/>
                  <w:i w:val="0"/>
                  <w:highlight w:val="none"/>
                  <w:lang w:val="en-US" w:eastAsia="zh-CN"/>
                </w:rPr>
                <m:t xml:space="preserve">Minimize </m:t>
              </m:r>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Y</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e>
              </m:nary>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1</m:t>
                  </m:r>
                  <m:ctrlPr>
                    <w:rPr>
                      <w:rFonts w:hint="default" w:ascii="DejaVu Math TeX Gyre" w:hAnsi="DejaVu Math TeX Gyre" w:cs="Times New Roman"/>
                      <w:i w:val="0"/>
                      <w:highlight w:val="none"/>
                      <w:lang w:val="en-US" w:eastAsia="zh-CN"/>
                    </w:rPr>
                  </m:ctrlPr>
                </m:e>
              </m:d>
              <m:ctrlPr>
                <w:rPr>
                  <w:rFonts w:ascii="Cambria Math" w:hAnsi="Cambria Math"/>
                  <w:i/>
                  <w:highlight w:val="none"/>
                  <w:lang w:val="en-US" w:eastAsia="zh-CN"/>
                </w:rPr>
              </m:ctrlPr>
            </m:e>
          </m:eqArr>
        </m:oMath>
      </m:oMathPara>
    </w:p>
    <w:p w14:paraId="0291518D">
      <w:pPr>
        <w:spacing w:line="240" w:lineRule="auto"/>
        <w:rPr>
          <w:rFonts w:hAnsi="Cambria Math"/>
          <w:i w:val="0"/>
          <w:highlight w:val="none"/>
          <w:lang w:val="en-US" w:eastAsia="zh-CN"/>
        </w:rPr>
      </w:pPr>
    </w:p>
    <w:p w14:paraId="7F185C4C">
      <w:pPr>
        <w:spacing w:line="240" w:lineRule="auto"/>
        <w:rPr>
          <w:rFonts w:hint="default" w:hAnsi="DejaVu Math TeX Gyre" w:cs="Times New Roman"/>
          <w:i w:val="0"/>
          <w:highlight w:val="none"/>
          <w:lang w:val="en-US" w:eastAsia="zh-CN"/>
        </w:rPr>
      </w:pPr>
      <m:oMathPara>
        <m:oMath>
          <m:eqArr>
            <m:eqArrPr>
              <m:maxDist m:val="1"/>
              <m:ctrlPr>
                <w:rPr>
                  <w:rFonts w:hint="default" w:ascii="DejaVu Math TeX Gyre" w:hAnsi="DejaVu Math TeX Gyre" w:cs="Times New Roman"/>
                  <w:i w:val="0"/>
                  <w:highlight w:val="none"/>
                  <w:lang w:val="en-US" w:eastAsia="zh-CN"/>
                </w:rPr>
              </m:ctrlPr>
            </m:eqArrPr>
            <m:e>
              <m:r>
                <m:rPr>
                  <m:nor/>
                  <m:sty m:val="p"/>
                </m:rPr>
                <w:rPr>
                  <w:rFonts w:hint="default" w:ascii="Times New Roman" w:hAnsi="Times New Roman" w:cs="Times New Roman"/>
                  <w:b w:val="0"/>
                  <w:i w:val="0"/>
                  <w:highlight w:val="none"/>
                  <w:lang w:val="en-US" w:eastAsia="zh-CN"/>
                </w:rPr>
                <m:t xml:space="preserve">Minimize </m:t>
              </m:r>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i</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I</m:t>
                  </m:r>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sSub>
                        <m:sSubPr>
                          <m:ctrlPr>
                            <w:rPr>
                              <w:rFonts w:hint="default" w:ascii="DejaVu Math TeX Gyre" w:hAnsi="DejaVu Math TeX Gyre" w:cs="Times New Roman Italic"/>
                              <w:i/>
                              <w:iCs/>
                              <w:highlight w:val="none"/>
                              <w:lang w:val="en-US" w:eastAsia="zh-CN"/>
                            </w:rPr>
                          </m:ctrlPr>
                        </m:sSubPr>
                        <m:e>
                          <m:r>
                            <m:rPr>
                              <m:nor/>
                              <m:sty m:val="p"/>
                            </m:rPr>
                            <w:rPr>
                              <w:rFonts w:hint="default" w:ascii="DejaVu Math TeX Gyre" w:hAnsi="DejaVu Math TeX Gyre" w:cs="Times New Roman Italic"/>
                              <w:b w:val="0"/>
                              <w:i w:val="0"/>
                              <w:iCs/>
                              <w:highlight w:val="none"/>
                              <w:lang w:val="en-US" w:eastAsia="zh-CN"/>
                            </w:rPr>
                            <m:t>Ω</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sSub>
                        <m:sSubPr>
                          <m:ctrlPr>
                            <w:rPr>
                              <w:rFonts w:hint="default" w:ascii="DejaVu Math TeX Gyre" w:hAnsi="DejaVu Math TeX Gyre" w:cs="Times New Roman"/>
                              <w:i/>
                              <w:iCs/>
                              <w:highlight w:val="none"/>
                              <w:lang w:val="en-US" w:eastAsia="zh-CN"/>
                            </w:rPr>
                          </m:ctrlPr>
                        </m:sSubPr>
                        <m:e>
                          <m:r>
                            <m:rPr>
                              <m:nor/>
                            </m:rPr>
                            <w:rPr>
                              <w:rFonts w:hint="default" w:ascii="Times New Roman" w:hAnsi="Times New Roman" w:cs="Times New Roman"/>
                              <w:b w:val="0"/>
                              <w:i/>
                              <w:iCs/>
                              <w:highlight w:val="none"/>
                              <w:lang w:val="en-US" w:eastAsia="zh-CN"/>
                            </w:rPr>
                            <m:t>w</m:t>
                          </m:r>
                          <m:ctrlPr>
                            <w:rPr>
                              <w:rFonts w:hint="default" w:ascii="DejaVu Math TeX Gyre" w:hAnsi="DejaVu Math TeX Gyre" w:cs="Times New Roman"/>
                              <w:i/>
                              <w:iCs/>
                              <w:highlight w:val="none"/>
                              <w:lang w:val="en-US" w:eastAsia="zh-CN"/>
                            </w:rPr>
                          </m:ctrlPr>
                        </m:e>
                        <m:sub>
                          <m:r>
                            <m:rPr>
                              <m:nor/>
                            </m:rPr>
                            <w:rPr>
                              <w:rFonts w:hint="default" w:ascii="Times New Roman" w:hAnsi="Times New Roman" w:cs="Times New Roman"/>
                              <w:b w:val="0"/>
                              <w:i/>
                              <w:iCs/>
                              <w:highlight w:val="none"/>
                              <w:lang w:val="en-US" w:eastAsia="zh-CN"/>
                            </w:rPr>
                            <m:t>i</m:t>
                          </m:r>
                          <m:ctrlPr>
                            <w:rPr>
                              <w:rFonts w:hint="default" w:ascii="DejaVu Math TeX Gyre" w:hAnsi="DejaVu Math TeX Gyre" w:cs="Times New Roman"/>
                              <w:i/>
                              <w:iCs/>
                              <w:highlight w:val="none"/>
                              <w:lang w:val="en-US" w:eastAsia="zh-CN"/>
                            </w:rPr>
                          </m:ctrlPr>
                        </m:sub>
                      </m:sSub>
                      <m:sSub>
                        <m:sSubPr>
                          <m:ctrlPr>
                            <w:rPr>
                              <w:rFonts w:hint="default" w:ascii="DejaVu Math TeX Gyre" w:hAnsi="DejaVu Math TeX Gyre" w:cs="Times New Roman"/>
                              <w:i/>
                              <w:iCs/>
                              <w:highlight w:val="none"/>
                              <w:lang w:val="en-US" w:eastAsia="zh-CN"/>
                            </w:rPr>
                          </m:ctrlPr>
                        </m:sSubPr>
                        <m:e>
                          <m:r>
                            <m:rPr>
                              <m:nor/>
                            </m:rPr>
                            <w:rPr>
                              <w:rFonts w:hint="default" w:ascii="Times New Roman" w:hAnsi="Times New Roman" w:cs="Times New Roman"/>
                              <w:b w:val="0"/>
                              <w:i/>
                              <w:iCs/>
                              <w:highlight w:val="none"/>
                              <w:lang w:val="en-US" w:eastAsia="zh-CN"/>
                            </w:rPr>
                            <m:t>d</m:t>
                          </m:r>
                          <m:ctrlPr>
                            <w:rPr>
                              <w:rFonts w:hint="default" w:ascii="DejaVu Math TeX Gyre" w:hAnsi="DejaVu Math TeX Gyre" w:cs="Times New Roman"/>
                              <w:i/>
                              <w:iCs/>
                              <w:highlight w:val="none"/>
                              <w:lang w:val="en-US" w:eastAsia="zh-CN"/>
                            </w:rPr>
                          </m:ctrlPr>
                        </m:e>
                        <m:sub>
                          <m:r>
                            <m:rPr>
                              <m:nor/>
                            </m:rPr>
                            <w:rPr>
                              <w:rFonts w:hint="default" w:ascii="Times New Roman" w:hAnsi="Times New Roman" w:cs="Times New Roman"/>
                              <w:b w:val="0"/>
                              <w:i/>
                              <w:iCs/>
                              <w:highlight w:val="none"/>
                              <w:lang w:val="en-US" w:eastAsia="zh-CN"/>
                            </w:rPr>
                            <m:t>ij</m:t>
                          </m:r>
                          <m:ctrlPr>
                            <w:rPr>
                              <w:rFonts w:hint="default" w:ascii="DejaVu Math TeX Gyre" w:hAnsi="DejaVu Math TeX Gyre" w:cs="Times New Roman"/>
                              <w:i/>
                              <w:iCs/>
                              <w:highlight w:val="none"/>
                              <w:lang w:val="en-US" w:eastAsia="zh-CN"/>
                            </w:rPr>
                          </m:ctrlPr>
                        </m:sub>
                      </m:sSub>
                      <m:sSub>
                        <m:sSubPr>
                          <m:ctrlPr>
                            <w:rPr>
                              <w:rFonts w:hint="default" w:ascii="DejaVu Math TeX Gyre" w:hAnsi="DejaVu Math TeX Gyre" w:cs="Times New Roman"/>
                              <w:i/>
                              <w:iCs/>
                              <w:highlight w:val="none"/>
                              <w:lang w:val="en-US" w:eastAsia="zh-CN"/>
                            </w:rPr>
                          </m:ctrlPr>
                        </m:sSubPr>
                        <m:e>
                          <m:r>
                            <m:rPr>
                              <m:nor/>
                            </m:rPr>
                            <w:rPr>
                              <w:rFonts w:hint="default" w:ascii="Times New Roman" w:hAnsi="Times New Roman" w:cs="Times New Roman"/>
                              <w:b w:val="0"/>
                              <w:i/>
                              <w:iCs/>
                              <w:highlight w:val="none"/>
                              <w:lang w:val="en-US" w:eastAsia="zh-CN"/>
                            </w:rPr>
                            <m:t>X</m:t>
                          </m:r>
                          <m:ctrlPr>
                            <w:rPr>
                              <w:rFonts w:hint="default" w:ascii="DejaVu Math TeX Gyre" w:hAnsi="DejaVu Math TeX Gyre" w:cs="Times New Roman"/>
                              <w:i/>
                              <w:iCs/>
                              <w:highlight w:val="none"/>
                              <w:lang w:val="en-US" w:eastAsia="zh-CN"/>
                            </w:rPr>
                          </m:ctrlPr>
                        </m:e>
                        <m:sub>
                          <m:r>
                            <m:rPr>
                              <m:nor/>
                            </m:rPr>
                            <w:rPr>
                              <w:rFonts w:hint="default" w:ascii="Times New Roman" w:hAnsi="Times New Roman" w:cs="Times New Roman"/>
                              <w:b w:val="0"/>
                              <w:i/>
                              <w:iCs/>
                              <w:highlight w:val="none"/>
                              <w:lang w:val="en-US" w:eastAsia="zh-CN"/>
                            </w:rPr>
                            <m:t>ij</m:t>
                          </m:r>
                          <m:ctrlPr>
                            <w:rPr>
                              <w:rFonts w:hint="default" w:ascii="DejaVu Math TeX Gyre" w:hAnsi="DejaVu Math TeX Gyre" w:cs="Times New Roman"/>
                              <w:i/>
                              <w:iCs/>
                              <w:highlight w:val="none"/>
                              <w:lang w:val="en-US" w:eastAsia="zh-CN"/>
                            </w:rPr>
                          </m:ctrlPr>
                        </m:sub>
                      </m:sSub>
                      <m:ctrlPr>
                        <w:rPr>
                          <w:rFonts w:hint="default" w:ascii="DejaVu Math TeX Gyre" w:hAnsi="DejaVu Math TeX Gyre" w:cs="Times New Roman"/>
                          <w:i w:val="0"/>
                          <w:highlight w:val="none"/>
                          <w:lang w:val="en-US" w:eastAsia="zh-CN"/>
                        </w:rPr>
                      </m:ctrlPr>
                    </m:e>
                  </m:nary>
                  <m:ctrlPr>
                    <w:rPr>
                      <w:rFonts w:hint="default" w:ascii="DejaVu Math TeX Gyre" w:hAnsi="DejaVu Math TeX Gyre" w:cs="Times New Roman"/>
                      <w:i w:val="0"/>
                      <w:highlight w:val="none"/>
                      <w:lang w:val="en-US" w:eastAsia="zh-CN"/>
                    </w:rPr>
                  </m:ctrlPr>
                </m:e>
              </m:nary>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2</m:t>
                  </m:r>
                  <m:ctrlPr>
                    <w:rPr>
                      <w:rFonts w:hint="default" w:ascii="DejaVu Math TeX Gyre" w:hAnsi="DejaVu Math TeX Gyre" w:cs="Times New Roman"/>
                      <w:i w:val="0"/>
                      <w:highlight w:val="none"/>
                      <w:lang w:val="en-US" w:eastAsia="zh-CN"/>
                    </w:rPr>
                  </m:ctrlPr>
                </m:e>
              </m:d>
              <m:ctrlPr>
                <w:rPr>
                  <w:rFonts w:hint="default" w:ascii="DejaVu Math TeX Gyre" w:hAnsi="DejaVu Math TeX Gyre" w:cs="Times New Roman"/>
                  <w:i w:val="0"/>
                  <w:highlight w:val="none"/>
                  <w:lang w:val="en-US" w:eastAsia="zh-CN"/>
                </w:rPr>
              </m:ctrlPr>
            </m:e>
          </m:eqArr>
        </m:oMath>
      </m:oMathPara>
    </w:p>
    <w:p w14:paraId="18F6E87B">
      <w:pPr>
        <w:spacing w:line="240" w:lineRule="auto"/>
        <w:rPr>
          <w:i/>
          <w:iCs/>
          <w:highlight w:val="none"/>
          <w:lang w:val="en-US" w:eastAsia="zh-CN"/>
        </w:rPr>
      </w:pPr>
      <w:r>
        <w:rPr>
          <w:i/>
          <w:iCs/>
          <w:highlight w:val="none"/>
          <w:lang w:val="en-US" w:eastAsia="zh-CN"/>
        </w:rPr>
        <w:t>s</w:t>
      </w:r>
      <w:r>
        <w:rPr>
          <w:rFonts w:hint="eastAsia"/>
          <w:i/>
          <w:iCs/>
          <w:highlight w:val="none"/>
          <w:lang w:val="en-US" w:eastAsia="zh-CN"/>
        </w:rPr>
        <w:t>ubject</w:t>
      </w:r>
      <w:r>
        <w:rPr>
          <w:i/>
          <w:iCs/>
          <w:highlight w:val="none"/>
          <w:lang w:val="en-US" w:eastAsia="zh-CN"/>
        </w:rPr>
        <w:t xml:space="preserve"> to</w:t>
      </w:r>
    </w:p>
    <w:p w14:paraId="41C3E665">
      <w:pPr>
        <w:spacing w:line="240" w:lineRule="auto"/>
        <w:rPr>
          <w:rFonts w:hAnsi="Cambria Math"/>
          <w:i w:val="0"/>
          <w:highlight w:val="none"/>
          <w:lang w:val="en-US" w:eastAsia="zh-CN"/>
        </w:rPr>
      </w:pPr>
      <m:oMathPara>
        <m:oMathParaPr>
          <m:jc m:val="center"/>
        </m:oMathParaPr>
        <m:oMath>
          <m:eqArr>
            <m:eqArrPr>
              <m:maxDist m:val="1"/>
              <m:ctrlPr>
                <w:rPr>
                  <w:rFonts w:ascii="Cambria Math" w:hAnsi="Cambria Math"/>
                  <w:i/>
                  <w:highlight w:val="none"/>
                  <w:lang w:val="en-US" w:eastAsia="zh-CN"/>
                </w:rPr>
              </m:ctrlPr>
            </m:eqArrPr>
            <m:e>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sSub>
                    <m:sSubPr>
                      <m:ctrlPr>
                        <w:rPr>
                          <w:rFonts w:hint="default" w:ascii="DejaVu Math TeX Gyre" w:hAnsi="DejaVu Math TeX Gyre" w:cs="Times New Roman Italic"/>
                          <w:i/>
                          <w:iCs/>
                          <w:highlight w:val="none"/>
                          <w:lang w:val="en-US" w:eastAsia="zh-CN"/>
                        </w:rPr>
                      </m:ctrlPr>
                    </m:sSubPr>
                    <m:e>
                      <m:r>
                        <m:rPr>
                          <m:nor/>
                          <m:sty m:val="p"/>
                        </m:rPr>
                        <w:rPr>
                          <w:rFonts w:hint="default" w:ascii="DejaVu Math TeX Gyre" w:hAnsi="DejaVu Math TeX Gyre" w:cs="Times New Roman Italic"/>
                          <w:b w:val="0"/>
                          <w:i w:val="0"/>
                          <w:iCs/>
                          <w:highlight w:val="none"/>
                          <w:lang w:val="en-US" w:eastAsia="zh-CN"/>
                        </w:rPr>
                        <m:t>Ω</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X</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ij</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e>
              </m:nary>
              <m:r>
                <m:rPr>
                  <m:nor/>
                  <m:sty m:val="p"/>
                </m:rPr>
                <w:rPr>
                  <w:rFonts w:hint="default" w:ascii="DejaVu Math TeX Gyre" w:hAnsi="DejaVu Math TeX Gyre"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1,</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i</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I</m:t>
              </m:r>
              <m:r>
                <m:rPr>
                  <m:sty m:val="p"/>
                </m:rPr>
                <w:rPr>
                  <w:rFonts w:hint="default" w:ascii="DejaVu Math TeX Gyre" w:hAnsi="DejaVu Math TeX Gyre" w:cs="Times New Roman"/>
                  <w:highlight w:val="none"/>
                  <w:lang w:val="en-US" w:eastAsia="zh-CN"/>
                </w:rPr>
                <m:t>#</m:t>
              </m:r>
              <m:r>
                <m:rPr>
                  <m:nor/>
                  <m:sty m:val="p"/>
                </m:rPr>
                <w:rPr>
                  <w:rFonts w:hint="default" w:ascii="Times New Roman" w:hAnsi="Times New Roman" w:cs="Times New Roman"/>
                  <w:b w:val="0"/>
                  <w:i w:val="0"/>
                  <w:highlight w:val="none"/>
                  <w:lang w:val="en-US" w:eastAsia="zh-CN"/>
                </w:rPr>
                <m:t>(3)</m:t>
              </m:r>
              <m:r>
                <m:rPr/>
                <w:rPr>
                  <w:rFonts w:ascii="Cambria Math" w:hAnsi="Cambria Math"/>
                  <w:highlight w:val="none"/>
                  <w:lang w:val="en-US" w:eastAsia="zh-CN"/>
                </w:rPr>
                <m:t>###</m:t>
              </m:r>
              <m:ctrlPr>
                <w:rPr>
                  <w:rFonts w:ascii="Cambria Math" w:hAnsi="Cambria Math"/>
                  <w:i/>
                  <w:highlight w:val="none"/>
                  <w:lang w:val="en-US" w:eastAsia="zh-CN"/>
                </w:rPr>
              </m:ctrlPr>
            </m:e>
          </m:eqArr>
        </m:oMath>
      </m:oMathPara>
    </w:p>
    <w:p w14:paraId="625AFDDA">
      <w:pPr>
        <w:spacing w:line="240" w:lineRule="auto"/>
        <w:rPr>
          <w:rFonts w:hAnsi="Cambria Math"/>
          <w:i w:val="0"/>
          <w:highlight w:val="none"/>
          <w:lang w:val="en-US" w:eastAsia="zh-CN"/>
        </w:rPr>
      </w:pPr>
    </w:p>
    <w:p w14:paraId="38D63682">
      <w:pPr>
        <w:spacing w:line="240" w:lineRule="auto"/>
        <w:rPr>
          <w:rFonts w:hAnsi="Cambria Math"/>
          <w:i w:val="0"/>
          <w:highlight w:val="none"/>
          <w:lang w:val="en-US" w:eastAsia="zh-CN"/>
        </w:rPr>
      </w:pPr>
      <m:oMathPara>
        <m:oMathParaPr>
          <m:jc m:val="center"/>
        </m:oMathParaPr>
        <m:oMath>
          <m:eqArr>
            <m:eqArrPr>
              <m:maxDist m:val="1"/>
              <m:ctrlPr>
                <w:rPr>
                  <w:rFonts w:ascii="Cambria Math" w:hAnsi="Cambria Math"/>
                  <w:i/>
                  <w:highlight w:val="none"/>
                  <w:lang w:val="en-US" w:eastAsia="zh-CN"/>
                </w:rPr>
              </m:ctrlPr>
            </m:eqArrPr>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X</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ij</m:t>
                  </m:r>
                  <m:ctrlPr>
                    <w:rPr>
                      <w:rFonts w:hint="default" w:ascii="DejaVu Math TeX Gyre" w:hAnsi="DejaVu Math TeX Gyre" w:cs="Times New Roman Italic"/>
                      <w:i/>
                      <w:iCs/>
                      <w:highlight w:val="none"/>
                      <w:lang w:val="en-US" w:eastAsia="zh-CN"/>
                    </w:rPr>
                  </m:ctrlPr>
                </m:sub>
              </m:sSub>
              <m:r>
                <m:rPr>
                  <m:nor/>
                  <m:sty m:val="p"/>
                </m:rPr>
                <w:rPr>
                  <w:rFonts w:hint="default" w:ascii="DejaVu Math TeX Gyre" w:hAnsi="DejaVu Math TeX Gyre" w:cs="Times New Roman Italic"/>
                  <w:b w:val="0"/>
                  <w:i w:val="0"/>
                  <w:iCs/>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Y</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Italic"/>
                      <w:i/>
                      <w:iCs/>
                      <w:highlight w:val="none"/>
                      <w:lang w:val="en-US" w:eastAsia="zh-CN"/>
                    </w:rPr>
                  </m:ctrlPr>
                </m:sub>
              </m:sSub>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i</m:t>
              </m:r>
              <m:r>
                <m:rPr>
                  <m:nor/>
                  <m:sty m:val="p"/>
                </m:rPr>
                <w:rPr>
                  <w:rFonts w:hint="default" w:ascii="Times New Roman" w:hAnsi="Times New Roman" w:cs="Times New Roman"/>
                  <w:b w:val="0"/>
                  <w:i w:val="0"/>
                  <w:highlight w:val="none"/>
                  <w:lang w:val="en-US" w:eastAsia="zh-CN"/>
                </w:rPr>
                <m:t>,</m:t>
              </m:r>
              <m:r>
                <m:rPr>
                  <m:nor/>
                  <m:sty m:val="p"/>
                </m:rPr>
                <w:rPr>
                  <w:rFonts w:hint="default" w:ascii="DejaVu Math TeX Gyre" w:hAnsi="DejaVu Math TeX Gyre" w:cs="Times New Roman Italic"/>
                  <w:b w:val="0"/>
                  <w:i w:val="0"/>
                  <w:iCs/>
                  <w:highlight w:val="none"/>
                  <w:lang w:val="en-US" w:eastAsia="zh-CN"/>
                </w:rPr>
                <m:t xml:space="preserve"> </m:t>
              </m:r>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sSub>
                <m:sSubPr>
                  <m:ctrlPr>
                    <w:rPr>
                      <w:rFonts w:hint="default" w:ascii="DejaVu Math TeX Gyre" w:hAnsi="DejaVu Math TeX Gyre" w:cs="Times New Roman Italic"/>
                      <w:i/>
                      <w:iCs/>
                      <w:highlight w:val="none"/>
                      <w:lang w:val="en-US" w:eastAsia="zh-CN"/>
                    </w:rPr>
                  </m:ctrlPr>
                </m:sSubPr>
                <m:e>
                  <m:r>
                    <m:rPr>
                      <m:nor/>
                      <m:sty m:val="p"/>
                    </m:rPr>
                    <w:rPr>
                      <w:rFonts w:hint="default" w:ascii="DejaVu Math TeX Gyre" w:hAnsi="DejaVu Math TeX Gyre" w:cs="Times New Roman Italic"/>
                      <w:b w:val="0"/>
                      <w:i w:val="0"/>
                      <w:iCs/>
                      <w:highlight w:val="none"/>
                      <w:lang w:val="en-US" w:eastAsia="zh-CN"/>
                    </w:rPr>
                    <m:t>Ω</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m:t>
                  </m:r>
                  <m:ctrlPr>
                    <w:rPr>
                      <w:rFonts w:hint="default" w:ascii="DejaVu Math TeX Gyre" w:hAnsi="DejaVu Math TeX Gyre" w:cs="Times New Roman Italic"/>
                      <w:i/>
                      <w:iCs/>
                      <w:highlight w:val="none"/>
                      <w:lang w:val="en-US" w:eastAsia="zh-CN"/>
                    </w:rPr>
                  </m:ctrlPr>
                </m:sub>
              </m:sSub>
              <m:r>
                <m:rPr>
                  <m:nor/>
                  <m:sty m:val="p"/>
                </m:rPr>
                <w:rPr>
                  <w:rFonts w:hint="default" w:ascii="Times New Roman" w:hAnsi="Times New Roman" w:cs="Times New Roman"/>
                  <w:b w:val="0"/>
                  <w:i w:val="0"/>
                  <w:highlight w:val="none"/>
                  <w:lang w:val="en-US" w:eastAsia="zh-CN"/>
                </w:rPr>
                <m:t xml:space="preserve"> </m:t>
              </m:r>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4</m:t>
                  </m:r>
                  <m:ctrlPr>
                    <w:rPr>
                      <w:rFonts w:hint="default" w:ascii="DejaVu Math TeX Gyre" w:hAnsi="DejaVu Math TeX Gyre" w:cs="Times New Roman"/>
                      <w:i w:val="0"/>
                      <w:highlight w:val="none"/>
                      <w:lang w:val="en-US" w:eastAsia="zh-CN"/>
                    </w:rPr>
                  </m:ctrlPr>
                </m:e>
              </m:d>
              <m:ctrlPr>
                <w:rPr>
                  <w:rFonts w:ascii="Cambria Math" w:hAnsi="Cambria Math"/>
                  <w:i/>
                  <w:highlight w:val="none"/>
                  <w:lang w:val="en-US" w:eastAsia="zh-CN"/>
                </w:rPr>
              </m:ctrlPr>
            </m:e>
          </m:eqArr>
        </m:oMath>
      </m:oMathPara>
    </w:p>
    <w:p w14:paraId="5FD9F296">
      <w:pPr>
        <w:spacing w:line="240" w:lineRule="auto"/>
        <w:rPr>
          <w:rFonts w:hAnsi="Cambria Math"/>
          <w:i w:val="0"/>
          <w:highlight w:val="none"/>
          <w:lang w:val="en-US" w:eastAsia="zh-CN"/>
        </w:rPr>
      </w:pPr>
    </w:p>
    <w:p w14:paraId="7154DAF8">
      <w:pPr>
        <w:spacing w:line="240" w:lineRule="auto"/>
        <w:rPr>
          <w:rFonts w:hAnsi="Cambria Math"/>
          <w:i w:val="0"/>
          <w:highlight w:val="none"/>
          <w:lang w:val="en-US" w:eastAsia="zh-CN"/>
        </w:rPr>
      </w:pPr>
      <m:oMathPara>
        <m:oMathParaPr>
          <m:jc m:val="center"/>
        </m:oMathParaPr>
        <m:oMath>
          <m:eqArr>
            <m:eqArrPr>
              <m:maxDist m:val="1"/>
              <m:ctrlPr>
                <w:rPr>
                  <w:rFonts w:ascii="Cambria Math" w:hAnsi="Cambria Math"/>
                  <w:i/>
                  <w:highlight w:val="none"/>
                  <w:lang w:val="en-US" w:eastAsia="zh-CN"/>
                </w:rPr>
              </m:ctrlPr>
            </m:eqArrPr>
            <m:e>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r>
                    <m:rPr>
                      <m:nor/>
                      <m:sty m:val="p"/>
                    </m:rPr>
                    <w:rPr>
                      <w:rFonts w:hint="default" w:ascii="DejaVu Math TeX Gyre" w:hAnsi="DejaVu Math TeX Gyre" w:cs="Times New Roman Italic"/>
                      <w:b w:val="0"/>
                      <w:i w:val="0"/>
                      <w:iCs/>
                      <w:highlight w:val="none"/>
                      <w:lang w:val="en-US" w:eastAsia="zh-CN"/>
                    </w:rPr>
                    <m:t>Φ</m:t>
                  </m:r>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Y</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e>
              </m:nary>
              <m:r>
                <m:rPr>
                  <m:nor/>
                  <m:sty m:val="p"/>
                </m:rPr>
                <w:rPr>
                  <w:rFonts w:hint="default" w:ascii="DejaVu Math TeX Gyre" w:hAnsi="DejaVu Math TeX Gyre"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rPr>
                <w:rPr>
                  <w:rFonts w:hint="default" w:ascii="DejaVu Math TeX Gyre" w:hAnsi="DejaVu Math TeX Gyre" w:cs="Times New Roman Italic"/>
                  <w:b w:val="0"/>
                  <w:i/>
                  <w:iCs/>
                  <w:highlight w:val="none"/>
                  <w:lang w:val="en-US" w:eastAsia="zh-CN"/>
                </w:rPr>
                <m:t>q</m:t>
              </m:r>
              <m:r>
                <m:rPr>
                  <m:nor/>
                  <m:sty m:val="p"/>
                </m:rPr>
                <w:rPr>
                  <w:rFonts w:hint="default" w:ascii="Times New Roman" w:hAnsi="Times New Roman" w:cs="Times New Roman"/>
                  <w:b w:val="0"/>
                  <w:i w:val="0"/>
                  <w:highlight w:val="none"/>
                  <w:lang w:val="en-US" w:eastAsia="zh-CN"/>
                </w:rPr>
                <m:t xml:space="preserve"> </m:t>
              </m:r>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5</m:t>
                  </m:r>
                  <m:ctrlPr>
                    <w:rPr>
                      <w:rFonts w:hint="default" w:ascii="DejaVu Math TeX Gyre" w:hAnsi="DejaVu Math TeX Gyre" w:cs="Times New Roman"/>
                      <w:i w:val="0"/>
                      <w:highlight w:val="none"/>
                      <w:lang w:val="en-US" w:eastAsia="zh-CN"/>
                    </w:rPr>
                  </m:ctrlPr>
                </m:e>
              </m:d>
              <m:ctrlPr>
                <w:rPr>
                  <w:rFonts w:ascii="Cambria Math" w:hAnsi="Cambria Math"/>
                  <w:i/>
                  <w:highlight w:val="none"/>
                  <w:lang w:val="en-US" w:eastAsia="zh-CN"/>
                </w:rPr>
              </m:ctrlPr>
            </m:e>
          </m:eqArr>
        </m:oMath>
      </m:oMathPara>
    </w:p>
    <w:p w14:paraId="230497F9">
      <w:pPr>
        <w:spacing w:line="240" w:lineRule="auto"/>
        <w:rPr>
          <w:rFonts w:hAnsi="Cambria Math"/>
          <w:i w:val="0"/>
          <w:highlight w:val="none"/>
          <w:lang w:val="en-US" w:eastAsia="zh-CN"/>
        </w:rPr>
      </w:pPr>
    </w:p>
    <w:p w14:paraId="544C62DA">
      <w:pPr>
        <w:spacing w:line="240" w:lineRule="auto"/>
        <w:rPr>
          <w:rFonts w:hAnsi="Cambria Math"/>
          <w:i w:val="0"/>
          <w:highlight w:val="none"/>
          <w:lang w:val="en-US" w:eastAsia="zh-CN"/>
        </w:rPr>
      </w:pPr>
      <m:oMathPara>
        <m:oMathParaPr>
          <m:jc m:val="center"/>
        </m:oMathParaPr>
        <m:oMath>
          <m:eqArr>
            <m:eqArrPr>
              <m:maxDist m:val="1"/>
              <m:ctrlPr>
                <w:rPr>
                  <w:rFonts w:ascii="Cambria Math" w:hAnsi="Cambria Math"/>
                  <w:i/>
                  <w:highlight w:val="none"/>
                  <w:lang w:val="en-US" w:eastAsia="zh-CN"/>
                </w:rPr>
              </m:ctrlPr>
            </m:eqArrPr>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Y</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Italic"/>
                      <w:i/>
                      <w:iCs/>
                      <w:highlight w:val="none"/>
                      <w:lang w:val="en-US" w:eastAsia="zh-CN"/>
                    </w:rPr>
                  </m:ctrlPr>
                </m:sub>
              </m:sSub>
              <m:r>
                <m:rPr>
                  <m:nor/>
                  <m:sty m:val="p"/>
                </m:rPr>
                <w:rPr>
                  <w:rFonts w:hint="default" w:ascii="DejaVu Math TeX Gyre" w:hAnsi="DejaVu Math TeX Gyre" w:cs="Times New Roman Italic"/>
                  <w:b w:val="0"/>
                  <w:i w:val="0"/>
                  <w:iCs/>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d>
                <m:dPr>
                  <m:begChr m:val="{"/>
                  <m:endChr m:val="}"/>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0,1</m:t>
                  </m:r>
                  <m:ctrlPr>
                    <w:rPr>
                      <w:rFonts w:hint="default" w:ascii="DejaVu Math TeX Gyre" w:hAnsi="DejaVu Math TeX Gyre" w:cs="Times New Roman"/>
                      <w:i w:val="0"/>
                      <w:highlight w:val="none"/>
                      <w:lang w:val="en-US" w:eastAsia="zh-CN"/>
                    </w:rPr>
                  </m:ctrlPr>
                </m:e>
              </m:d>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J</m:t>
              </m:r>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6</m:t>
                  </m:r>
                  <m:ctrlPr>
                    <w:rPr>
                      <w:rFonts w:hint="default" w:ascii="DejaVu Math TeX Gyre" w:hAnsi="DejaVu Math TeX Gyre" w:cs="Times New Roman"/>
                      <w:i w:val="0"/>
                      <w:highlight w:val="none"/>
                      <w:lang w:val="en-US" w:eastAsia="zh-CN"/>
                    </w:rPr>
                  </m:ctrlPr>
                </m:e>
              </m:d>
              <m:ctrlPr>
                <w:rPr>
                  <w:rFonts w:ascii="Cambria Math" w:hAnsi="Cambria Math"/>
                  <w:i/>
                  <w:highlight w:val="none"/>
                  <w:lang w:val="en-US" w:eastAsia="zh-CN"/>
                </w:rPr>
              </m:ctrlPr>
            </m:e>
          </m:eqArr>
        </m:oMath>
      </m:oMathPara>
    </w:p>
    <w:p w14:paraId="42E554AD">
      <w:pPr>
        <w:spacing w:line="240" w:lineRule="auto"/>
        <w:rPr>
          <w:rFonts w:hAnsi="Cambria Math"/>
          <w:i w:val="0"/>
          <w:highlight w:val="none"/>
          <w:lang w:val="en-US" w:eastAsia="zh-CN"/>
        </w:rPr>
      </w:pPr>
    </w:p>
    <w:p w14:paraId="0E0C41B8">
      <w:pPr>
        <w:spacing w:line="240" w:lineRule="auto"/>
        <w:rPr>
          <w:rFonts w:hint="default" w:hAnsi="DejaVu Math TeX Gyre" w:cs="Times New Roman"/>
          <w:i w:val="0"/>
          <w:highlight w:val="none"/>
          <w:lang w:val="en-US" w:eastAsia="zh-CN"/>
        </w:rPr>
      </w:pPr>
      <m:oMathPara>
        <m:oMathParaPr>
          <m:jc m:val="center"/>
        </m:oMathParaPr>
        <m:oMath>
          <m:eqArr>
            <m:eqArrPr>
              <m:maxDist m:val="1"/>
              <m:ctrlPr>
                <w:rPr>
                  <w:rFonts w:hint="default" w:ascii="DejaVu Math TeX Gyre" w:hAnsi="DejaVu Math TeX Gyre" w:cs="Times New Roman"/>
                  <w:i w:val="0"/>
                  <w:highlight w:val="none"/>
                  <w:lang w:val="en-US" w:eastAsia="zh-CN"/>
                </w:rPr>
              </m:ctrlPr>
            </m:eqArrPr>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X</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ij</m:t>
                  </m:r>
                  <m:ctrlPr>
                    <w:rPr>
                      <w:rFonts w:hint="default" w:ascii="DejaVu Math TeX Gyre" w:hAnsi="DejaVu Math TeX Gyre" w:cs="Times New Roman Italic"/>
                      <w:i/>
                      <w:iCs/>
                      <w:highlight w:val="none"/>
                      <w:lang w:val="en-US" w:eastAsia="zh-CN"/>
                    </w:rPr>
                  </m:ctrlPr>
                </m:sub>
              </m:sSub>
              <m:r>
                <m:rPr>
                  <m:nor/>
                  <m:sty m:val="p"/>
                </m:rPr>
                <w:rPr>
                  <w:rFonts w:hint="default" w:ascii="DejaVu Math TeX Gyre" w:hAnsi="DejaVu Math TeX Gyre"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0,</m:t>
              </m:r>
              <m:r>
                <m:rPr>
                  <m:nor/>
                  <m:sty m:val="p"/>
                </m:rPr>
                <w:rPr>
                  <w:rFonts w:hint="default"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i</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sSub>
                <m:sSubPr>
                  <m:ctrlPr>
                    <w:rPr>
                      <w:rFonts w:hint="default" w:ascii="DejaVu Math TeX Gyre" w:hAnsi="DejaVu Math TeX Gyre" w:cs="Times New Roman Italic"/>
                      <w:i/>
                      <w:iCs/>
                      <w:highlight w:val="none"/>
                      <w:lang w:val="en-US" w:eastAsia="zh-CN"/>
                    </w:rPr>
                  </m:ctrlPr>
                </m:sSubPr>
                <m:e>
                  <m:r>
                    <m:rPr>
                      <m:nor/>
                      <m:sty m:val="p"/>
                    </m:rPr>
                    <w:rPr>
                      <w:rFonts w:hint="default" w:ascii="DejaVu Math TeX Gyre" w:hAnsi="DejaVu Math TeX Gyre" w:cs="Times New Roman Italic"/>
                      <w:b w:val="0"/>
                      <w:i w:val="0"/>
                      <w:iCs/>
                      <w:highlight w:val="none"/>
                      <w:lang w:val="en-US" w:eastAsia="zh-CN"/>
                    </w:rPr>
                    <m:t>Ω</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i</m:t>
                  </m:r>
                  <m:ctrlPr>
                    <w:rPr>
                      <w:rFonts w:hint="default" w:ascii="DejaVu Math TeX Gyre" w:hAnsi="DejaVu Math TeX Gyre" w:cs="Times New Roman Italic"/>
                      <w:i/>
                      <w:iCs/>
                      <w:highlight w:val="none"/>
                      <w:lang w:val="en-US" w:eastAsia="zh-CN"/>
                    </w:rPr>
                  </m:ctrlPr>
                </m:sub>
              </m:sSub>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7</m:t>
                  </m:r>
                  <m:ctrlPr>
                    <w:rPr>
                      <w:rFonts w:hint="default" w:ascii="DejaVu Math TeX Gyre" w:hAnsi="DejaVu Math TeX Gyre" w:cs="Times New Roman"/>
                      <w:i w:val="0"/>
                      <w:highlight w:val="none"/>
                      <w:lang w:val="en-US" w:eastAsia="zh-CN"/>
                    </w:rPr>
                  </m:ctrlPr>
                </m:e>
              </m:d>
              <m:ctrlPr>
                <w:rPr>
                  <w:rFonts w:hint="default" w:ascii="DejaVu Math TeX Gyre" w:hAnsi="DejaVu Math TeX Gyre" w:cs="Times New Roman"/>
                  <w:i w:val="0"/>
                  <w:highlight w:val="none"/>
                  <w:lang w:val="en-US" w:eastAsia="zh-CN"/>
                </w:rPr>
              </m:ctrlPr>
            </m:e>
          </m:eqArr>
        </m:oMath>
      </m:oMathPara>
    </w:p>
    <w:p w14:paraId="063FA04B">
      <w:pPr>
        <w:spacing w:line="240" w:lineRule="auto"/>
        <w:rPr>
          <w:rFonts w:hint="default" w:hAnsi="DejaVu Math TeX Gyre" w:cs="Times New Roman"/>
          <w:i w:val="0"/>
          <w:highlight w:val="none"/>
          <w:lang w:val="en-US" w:eastAsia="zh-CN"/>
        </w:rPr>
      </w:pPr>
    </w:p>
    <w:p w14:paraId="39472E6F">
      <w:pPr>
        <w:spacing w:line="240" w:lineRule="auto"/>
        <w:rPr>
          <w:rFonts w:hAnsi="Cambria Math"/>
          <w:i w:val="0"/>
          <w:highlight w:val="yellow"/>
          <w:lang w:val="en-US" w:eastAsia="zh-CN"/>
        </w:rPr>
      </w:pPr>
      <m:oMathPara>
        <m:oMathParaPr>
          <m:jc m:val="center"/>
        </m:oMathParaPr>
        <m:oMath>
          <m:eqArr>
            <m:eqArrPr>
              <m:maxDist m:val="1"/>
              <m:ctrlPr>
                <w:rPr>
                  <w:rFonts w:ascii="Cambria Math" w:hAnsi="Cambria Math"/>
                  <w:i/>
                  <w:highlight w:val="none"/>
                  <w:lang w:val="en-US" w:eastAsia="zh-CN"/>
                </w:rPr>
              </m:ctrlPr>
            </m:eqArrPr>
            <m:e>
              <m:nary>
                <m:naryPr>
                  <m:chr m:val="∑"/>
                  <m:limLoc m:val="undOvr"/>
                  <m:supHide m:val="1"/>
                  <m:ctrlPr>
                    <w:rPr>
                      <w:rFonts w:hint="default" w:ascii="DejaVu Math TeX Gyre" w:hAnsi="DejaVu Math TeX Gyre" w:cs="Times New Roman"/>
                      <w:i w:val="0"/>
                      <w:highlight w:val="none"/>
                      <w:lang w:val="en-US" w:eastAsia="zh-CN"/>
                    </w:rPr>
                  </m:ctrlPr>
                </m:naryPr>
                <m:sub>
                  <m:r>
                    <m:rPr>
                      <m:nor/>
                    </m:rPr>
                    <w:rPr>
                      <w:rFonts w:hint="default" w:ascii="DejaVu Math TeX Gyre" w:hAnsi="DejaVu Math TeX Gyre" w:cs="Times New Roman Italic"/>
                      <w:b w:val="0"/>
                      <w:i/>
                      <w:iCs/>
                      <w:highlight w:val="none"/>
                      <w:lang w:val="en-US" w:eastAsia="zh-CN"/>
                    </w:rPr>
                    <m:t>j</m:t>
                  </m:r>
                  <m:r>
                    <m:rPr>
                      <m:nor/>
                      <m:sty m:val="p"/>
                    </m:rPr>
                    <w:rPr>
                      <w:rFonts w:hint="default" w:ascii="Times New Roman" w:hAnsi="Times New Roman" w:cs="Times New Roman"/>
                      <w:b w:val="0"/>
                      <w:i w:val="0"/>
                      <w:highlight w:val="none"/>
                      <w:lang w:val="en-US" w:eastAsia="zh-CN"/>
                    </w:rPr>
                    <m:t>∈</m:t>
                  </m:r>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w:i w:val="0"/>
                      <w:highlight w:val="none"/>
                      <w:lang w:val="en-US" w:eastAsia="zh-CN"/>
                    </w:rPr>
                  </m:ctrlPr>
                </m:sub>
                <m:sup>
                  <m:ctrlPr>
                    <w:rPr>
                      <w:rFonts w:hint="default" w:ascii="DejaVu Math TeX Gyre" w:hAnsi="DejaVu Math TeX Gyre" w:cs="Times New Roman"/>
                      <w:i w:val="0"/>
                      <w:highlight w:val="none"/>
                      <w:lang w:val="en-US" w:eastAsia="zh-CN"/>
                    </w:rPr>
                  </m:ctrlPr>
                </m:sup>
                <m:e>
                  <m:sSub>
                    <m:sSubPr>
                      <m:ctrlPr>
                        <w:rPr>
                          <w:rFonts w:hint="default" w:ascii="DejaVu Math TeX Gyre" w:hAnsi="DejaVu Math TeX Gyre" w:cs="Times New Roman Italic"/>
                          <w:i/>
                          <w:iCs/>
                          <w:highlight w:val="none"/>
                          <w:lang w:val="en-US" w:eastAsia="zh-CN"/>
                        </w:rPr>
                      </m:ctrlPr>
                    </m:sSubPr>
                    <m:e>
                      <m:r>
                        <m:rPr>
                          <m:nor/>
                        </m:rPr>
                        <w:rPr>
                          <w:rFonts w:hint="default" w:ascii="DejaVu Math TeX Gyre" w:hAnsi="DejaVu Math TeX Gyre" w:cs="Times New Roman Italic"/>
                          <w:b w:val="0"/>
                          <w:i/>
                          <w:iCs/>
                          <w:highlight w:val="none"/>
                          <w:lang w:val="en-US" w:eastAsia="zh-CN"/>
                        </w:rPr>
                        <m:t>Y</m:t>
                      </m:r>
                      <m:ctrlPr>
                        <w:rPr>
                          <w:rFonts w:hint="default" w:ascii="DejaVu Math TeX Gyre" w:hAnsi="DejaVu Math TeX Gyre" w:cs="Times New Roman Italic"/>
                          <w:i/>
                          <w:iCs/>
                          <w:highlight w:val="none"/>
                          <w:lang w:val="en-US" w:eastAsia="zh-CN"/>
                        </w:rPr>
                      </m:ctrlPr>
                    </m:e>
                    <m:sub>
                      <m:r>
                        <m:rPr>
                          <m:nor/>
                        </m:rPr>
                        <w:rPr>
                          <w:rFonts w:hint="default" w:ascii="DejaVu Math TeX Gyre" w:hAnsi="DejaVu Math TeX Gyre" w:cs="Times New Roman Italic"/>
                          <w:b w:val="0"/>
                          <w:i/>
                          <w:iCs/>
                          <w:highlight w:val="none"/>
                          <w:lang w:val="en-US" w:eastAsia="zh-CN"/>
                        </w:rPr>
                        <m:t>j</m:t>
                      </m:r>
                      <m:ctrlPr>
                        <w:rPr>
                          <w:rFonts w:hint="default" w:ascii="DejaVu Math TeX Gyre" w:hAnsi="DejaVu Math TeX Gyre" w:cs="Times New Roman Italic"/>
                          <w:i/>
                          <w:iCs/>
                          <w:highlight w:val="none"/>
                          <w:lang w:val="en-US" w:eastAsia="zh-CN"/>
                        </w:rPr>
                      </m:ctrlPr>
                    </m:sub>
                  </m:sSub>
                  <m:ctrlPr>
                    <w:rPr>
                      <w:rFonts w:hint="default" w:ascii="DejaVu Math TeX Gyre" w:hAnsi="DejaVu Math TeX Gyre" w:cs="Times New Roman"/>
                      <w:i w:val="0"/>
                      <w:highlight w:val="none"/>
                      <w:lang w:val="en-US" w:eastAsia="zh-CN"/>
                    </w:rPr>
                  </m:ctrlPr>
                </m:e>
              </m:nary>
              <m:r>
                <m:rPr>
                  <m:nor/>
                  <m:sty m:val="p"/>
                </m:rPr>
                <w:rPr>
                  <w:rFonts w:hint="default" w:ascii="DejaVu Math TeX Gyre" w:hAnsi="DejaVu Math TeX Gyre" w:cs="Times New Roman"/>
                  <w:b w:val="0"/>
                  <w:i w:val="0"/>
                  <w:highlight w:val="none"/>
                  <w:lang w:val="en-US" w:eastAsia="zh-CN"/>
                </w:rPr>
                <m:t xml:space="preserve"> </m:t>
              </m:r>
              <m:r>
                <m:rPr>
                  <m:nor/>
                  <m:sty m:val="p"/>
                </m:rPr>
                <w:rPr>
                  <w:rFonts w:hint="default" w:ascii="Times New Roman" w:hAnsi="Times New Roman" w:cs="Times New Roman"/>
                  <w:b w:val="0"/>
                  <w:i w:val="0"/>
                  <w:highlight w:val="none"/>
                  <w:lang w:val="en-US" w:eastAsia="zh-CN"/>
                </w:rPr>
                <m:t>≤</m:t>
              </m:r>
              <m:r>
                <m:rPr>
                  <m:nor/>
                  <m:sty m:val="p"/>
                </m:rPr>
                <w:rPr>
                  <w:rFonts w:hint="default" w:cs="Times New Roman"/>
                  <w:b w:val="0"/>
                  <w:i w:val="0"/>
                  <w:highlight w:val="none"/>
                  <w:lang w:val="en-US" w:eastAsia="zh-CN"/>
                </w:rPr>
                <m:t xml:space="preserve"> </m:t>
              </m:r>
              <m:r>
                <m:rPr>
                  <m:nor/>
                </m:rPr>
                <w:rPr>
                  <w:rFonts w:hint="default" w:ascii="DejaVu Math TeX Gyre" w:hAnsi="DejaVu Math TeX Gyre" w:cs="Times New Roman Italic"/>
                  <w:b w:val="0"/>
                  <w:i/>
                  <w:iCs/>
                  <w:highlight w:val="none"/>
                  <w:lang w:val="en-US" w:eastAsia="zh-CN"/>
                </w:rPr>
                <m:t>p</m:t>
              </m:r>
              <m:r>
                <m:rPr>
                  <m:sty m:val="p"/>
                </m:rPr>
                <w:rPr>
                  <w:rFonts w:hint="default" w:ascii="DejaVu Math TeX Gyre" w:hAnsi="DejaVu Math TeX Gyre" w:cs="Times New Roman"/>
                  <w:highlight w:val="none"/>
                  <w:lang w:val="en-US" w:eastAsia="zh-CN"/>
                </w:rPr>
                <m:t>#</m:t>
              </m:r>
              <m:d>
                <m:dPr>
                  <m:ctrlPr>
                    <w:rPr>
                      <w:rFonts w:hint="default" w:ascii="DejaVu Math TeX Gyre" w:hAnsi="DejaVu Math TeX Gyre" w:cs="Times New Roman"/>
                      <w:i w:val="0"/>
                      <w:highlight w:val="none"/>
                      <w:lang w:val="en-US" w:eastAsia="zh-CN"/>
                    </w:rPr>
                  </m:ctrlPr>
                </m:dPr>
                <m:e>
                  <m:r>
                    <m:rPr>
                      <m:nor/>
                      <m:sty m:val="p"/>
                    </m:rPr>
                    <w:rPr>
                      <w:rFonts w:hint="default" w:ascii="Times New Roman" w:hAnsi="Times New Roman" w:cs="Times New Roman"/>
                      <w:b w:val="0"/>
                      <w:i w:val="0"/>
                      <w:highlight w:val="none"/>
                      <w:lang w:val="en-US" w:eastAsia="zh-CN"/>
                    </w:rPr>
                    <m:t>8</m:t>
                  </m:r>
                  <m:ctrlPr>
                    <w:rPr>
                      <w:rFonts w:hint="default" w:ascii="DejaVu Math TeX Gyre" w:hAnsi="DejaVu Math TeX Gyre" w:cs="Times New Roman"/>
                      <w:i w:val="0"/>
                      <w:highlight w:val="none"/>
                      <w:lang w:val="en-US" w:eastAsia="zh-CN"/>
                    </w:rPr>
                  </m:ctrlPr>
                </m:e>
              </m:d>
              <m:ctrlPr>
                <w:rPr>
                  <w:rFonts w:ascii="Cambria Math" w:hAnsi="Cambria Math"/>
                  <w:i/>
                  <w:highlight w:val="none"/>
                  <w:lang w:val="en-US" w:eastAsia="zh-CN"/>
                </w:rPr>
              </m:ctrlPr>
            </m:e>
          </m:eqArr>
        </m:oMath>
      </m:oMathPara>
    </w:p>
    <w:p w14:paraId="0D0DC312">
      <w:pPr>
        <w:spacing w:line="240" w:lineRule="auto"/>
        <w:rPr>
          <w:i/>
          <w:iCs/>
          <w:highlight w:val="none"/>
          <w:lang w:val="en-US" w:eastAsia="zh-CN"/>
        </w:rPr>
      </w:pPr>
      <w:r>
        <w:rPr>
          <w:i/>
          <w:iCs/>
          <w:highlight w:val="none"/>
          <w:lang w:val="en-US" w:eastAsia="zh-CN"/>
        </w:rPr>
        <w:t>where</w:t>
      </w:r>
    </w:p>
    <w:p w14:paraId="76580201">
      <w:pPr>
        <w:spacing w:line="240" w:lineRule="auto"/>
        <w:rPr>
          <w:highlight w:val="yellow"/>
          <w:lang w:val="en-US" w:eastAsia="zh-CN"/>
        </w:rPr>
      </w:pPr>
      <w:r>
        <w:rPr>
          <w:i/>
          <w:iCs/>
          <w:highlight w:val="none"/>
          <w:lang w:val="en-US" w:eastAsia="zh-CN"/>
        </w:rPr>
        <w:tab/>
      </w:r>
      <w:r>
        <w:rPr>
          <w:i/>
          <w:iCs/>
          <w:highlight w:val="none"/>
          <w:lang w:val="en-US" w:eastAsia="zh-CN"/>
        </w:rPr>
        <w:t>I</w:t>
      </w:r>
      <w:r>
        <w:rPr>
          <w:highlight w:val="none"/>
          <w:lang w:val="en-US" w:eastAsia="zh-CN"/>
        </w:rPr>
        <w:t xml:space="preserve"> is the set of demand areas;</w:t>
      </w:r>
    </w:p>
    <w:p w14:paraId="245DA4B1">
      <w:pPr>
        <w:spacing w:line="240" w:lineRule="auto"/>
        <w:rPr>
          <w:highlight w:val="none"/>
          <w:lang w:val="en-US" w:eastAsia="zh-CN"/>
        </w:rPr>
      </w:pPr>
      <w:r>
        <w:rPr>
          <w:highlight w:val="none"/>
          <w:lang w:val="en-US" w:eastAsia="zh-CN"/>
        </w:rPr>
        <w:tab/>
      </w:r>
      <w:r>
        <w:rPr>
          <w:i/>
          <w:iCs/>
          <w:highlight w:val="none"/>
          <w:lang w:val="en-US" w:eastAsia="zh-CN"/>
        </w:rPr>
        <w:t>J</w:t>
      </w:r>
      <w:r>
        <w:rPr>
          <w:highlight w:val="none"/>
          <w:lang w:val="en-US" w:eastAsia="zh-CN"/>
        </w:rPr>
        <w:t xml:space="preserve"> is the set of potential fire stations;</w:t>
      </w:r>
    </w:p>
    <w:p w14:paraId="232A04CD">
      <w:pPr>
        <w:spacing w:line="240" w:lineRule="auto"/>
        <w:rPr>
          <w:highlight w:val="yellow"/>
          <w:lang w:val="en-US" w:eastAsia="zh-CN"/>
        </w:rPr>
      </w:pPr>
      <w:r>
        <w:rPr>
          <w:highlight w:val="none"/>
          <w:lang w:val="en-US" w:eastAsia="zh-CN"/>
        </w:rPr>
        <w:tab/>
      </w:r>
      <w:r>
        <w:rPr>
          <w:i/>
          <w:iCs/>
          <w:highlight w:val="none"/>
          <w:lang w:val="en-US" w:eastAsia="zh-CN"/>
        </w:rPr>
        <w:t>Φ</w:t>
      </w:r>
      <w:r>
        <w:rPr>
          <w:highlight w:val="none"/>
          <w:lang w:val="en-US" w:eastAsia="zh-CN"/>
        </w:rPr>
        <w:t xml:space="preserve"> is the set of existing fire stations;</w:t>
      </w:r>
    </w:p>
    <w:p w14:paraId="08708FDE">
      <w:pPr>
        <w:spacing w:line="240" w:lineRule="auto"/>
        <w:rPr>
          <w:highlight w:val="yellow"/>
          <w:lang w:val="en-US" w:eastAsia="zh-CN"/>
        </w:rPr>
      </w:pPr>
      <w:r>
        <w:rPr>
          <w:highlight w:val="none"/>
          <w:lang w:val="en-US" w:eastAsia="zh-CN"/>
        </w:rPr>
        <w:tab/>
      </w:r>
      <w:r>
        <w:rPr>
          <w:i/>
          <w:iCs/>
          <w:highlight w:val="none"/>
          <w:lang w:val="en-US" w:eastAsia="zh-CN"/>
        </w:rPr>
        <w:t>i</w:t>
      </w:r>
      <w:r>
        <w:rPr>
          <w:highlight w:val="none"/>
          <w:lang w:val="en-US" w:eastAsia="zh-CN"/>
        </w:rPr>
        <w:t xml:space="preserve"> is the index of demand areas;</w:t>
      </w:r>
    </w:p>
    <w:p w14:paraId="03404340">
      <w:pPr>
        <w:spacing w:line="240" w:lineRule="auto"/>
        <w:rPr>
          <w:highlight w:val="yellow"/>
          <w:lang w:val="en-US" w:eastAsia="zh-CN"/>
        </w:rPr>
      </w:pPr>
      <w:r>
        <w:rPr>
          <w:highlight w:val="none"/>
          <w:lang w:val="en-US" w:eastAsia="zh-CN"/>
        </w:rPr>
        <w:tab/>
      </w:r>
      <w:r>
        <w:rPr>
          <w:i/>
          <w:iCs/>
          <w:highlight w:val="none"/>
          <w:lang w:val="en-US" w:eastAsia="zh-CN"/>
        </w:rPr>
        <w:t>j</w:t>
      </w:r>
      <w:r>
        <w:rPr>
          <w:highlight w:val="none"/>
          <w:lang w:val="en-US" w:eastAsia="zh-CN"/>
        </w:rPr>
        <w:t xml:space="preserve"> is the index of potential fire stations;</w:t>
      </w:r>
    </w:p>
    <w:p w14:paraId="476003BE">
      <w:pPr>
        <w:spacing w:line="240" w:lineRule="auto"/>
        <w:ind w:firstLine="720"/>
        <w:rPr>
          <w:color w:val="1F1F1F"/>
          <w:highlight w:val="none"/>
          <w:lang w:val="en-US" w:eastAsia="zh-CN"/>
        </w:rPr>
      </w:pPr>
      <w:r>
        <w:rPr>
          <w:rFonts w:hint="eastAsia"/>
          <w:i/>
          <w:iCs/>
          <w:color w:val="1F1F1F"/>
          <w:highlight w:val="none"/>
          <w:lang w:eastAsia="zh-CN"/>
        </w:rPr>
        <w:t>q</w:t>
      </w:r>
      <w:r>
        <w:rPr>
          <w:color w:val="1F1F1F"/>
          <w:highlight w:val="none"/>
          <w:lang w:val="en-US" w:eastAsia="zh-CN"/>
        </w:rPr>
        <w:t xml:space="preserve"> is the number of existing fire stations remainin</w:t>
      </w:r>
      <w:r>
        <w:rPr>
          <w:rFonts w:hint="eastAsia"/>
          <w:color w:val="1F1F1F"/>
          <w:highlight w:val="none"/>
          <w:lang w:val="en-US" w:eastAsia="zh-CN"/>
        </w:rPr>
        <w:t xml:space="preserve">g </w:t>
      </w:r>
      <w:r>
        <w:rPr>
          <w:color w:val="1F1F1F"/>
          <w:highlight w:val="none"/>
          <w:lang w:val="en-US" w:eastAsia="zh-CN"/>
        </w:rPr>
        <w:t>in the system;</w:t>
      </w:r>
    </w:p>
    <w:p w14:paraId="52FCB21C">
      <w:pPr>
        <w:spacing w:line="240" w:lineRule="auto"/>
        <w:ind w:firstLine="720"/>
        <w:rPr>
          <w:rFonts w:hint="default"/>
          <w:color w:val="1F1F1F"/>
          <w:highlight w:val="none"/>
          <w:lang w:val="en-US" w:eastAsia="zh-CN"/>
        </w:rPr>
      </w:pPr>
      <w:r>
        <w:rPr>
          <w:rFonts w:hint="default" w:ascii="Times New Roman Italic" w:hAnsi="Times New Roman Italic" w:cs="Times New Roman Italic"/>
          <w:i/>
          <w:iCs/>
          <w:color w:val="1F1F1F"/>
          <w:highlight w:val="none"/>
          <w:lang w:val="en-US" w:eastAsia="zh-CN"/>
        </w:rPr>
        <w:t>p</w:t>
      </w:r>
      <w:r>
        <w:rPr>
          <w:rFonts w:hint="default"/>
          <w:color w:val="1F1F1F"/>
          <w:highlight w:val="none"/>
          <w:lang w:val="en-US" w:eastAsia="zh-CN"/>
        </w:rPr>
        <w:t xml:space="preserve"> is the number of sited fire stations </w:t>
      </w:r>
      <w:r>
        <w:rPr>
          <w:color w:val="1F1F1F"/>
          <w:highlight w:val="none"/>
          <w:lang w:val="en-US" w:eastAsia="zh-CN"/>
        </w:rPr>
        <w:t>in the system</w:t>
      </w:r>
      <w:r>
        <w:rPr>
          <w:rFonts w:hint="default"/>
          <w:color w:val="1F1F1F"/>
          <w:highlight w:val="none"/>
          <w:lang w:val="en-US" w:eastAsia="zh-CN"/>
        </w:rPr>
        <w:t>;</w:t>
      </w:r>
    </w:p>
    <w:p w14:paraId="56095FB6">
      <w:pPr>
        <w:spacing w:line="240" w:lineRule="auto"/>
        <w:ind w:firstLine="720"/>
        <w:rPr>
          <w:rStyle w:val="17"/>
          <w:i w:val="0"/>
          <w:iCs w:val="0"/>
          <w:color w:val="1F1F1F"/>
          <w:highlight w:val="yellow"/>
        </w:rPr>
      </w:pPr>
      <w:r>
        <w:rPr>
          <w:rStyle w:val="17"/>
          <w:color w:val="1F1F1F"/>
          <w:highlight w:val="none"/>
        </w:rPr>
        <w:t>w</w:t>
      </w:r>
      <w:r>
        <w:rPr>
          <w:rStyle w:val="17"/>
          <w:color w:val="1F1F1F"/>
          <w:highlight w:val="none"/>
          <w:vertAlign w:val="subscript"/>
        </w:rPr>
        <w:t>i</w:t>
      </w:r>
      <w:r>
        <w:rPr>
          <w:color w:val="1F1F1F"/>
          <w:highlight w:val="none"/>
        </w:rPr>
        <w:t xml:space="preserve"> is the estimated fire risk of demand </w:t>
      </w:r>
      <w:r>
        <w:rPr>
          <w:i/>
          <w:iCs/>
          <w:color w:val="1F1F1F"/>
          <w:highlight w:val="none"/>
        </w:rPr>
        <w:t>i</w:t>
      </w:r>
      <w:r>
        <w:rPr>
          <w:rStyle w:val="17"/>
          <w:i w:val="0"/>
          <w:iCs w:val="0"/>
          <w:color w:val="1F1F1F"/>
          <w:highlight w:val="none"/>
        </w:rPr>
        <w:t>;</w:t>
      </w:r>
    </w:p>
    <w:p w14:paraId="1CAD9C11">
      <w:pPr>
        <w:spacing w:line="240" w:lineRule="auto"/>
        <w:ind w:firstLine="720"/>
        <w:rPr>
          <w:rFonts w:ascii="Georgia" w:hAnsi="Georgia"/>
          <w:color w:val="1F1F1F"/>
          <w:highlight w:val="none"/>
        </w:rPr>
      </w:pPr>
      <w:r>
        <w:rPr>
          <w:rStyle w:val="17"/>
          <w:rFonts w:ascii="Georgia" w:hAnsi="Georgia"/>
          <w:color w:val="1F1F1F"/>
          <w:highlight w:val="none"/>
        </w:rPr>
        <w:t>d</w:t>
      </w:r>
      <w:r>
        <w:rPr>
          <w:rStyle w:val="17"/>
          <w:rFonts w:ascii="Georgia" w:hAnsi="Georgia"/>
          <w:color w:val="1F1F1F"/>
          <w:sz w:val="18"/>
          <w:szCs w:val="18"/>
          <w:highlight w:val="none"/>
          <w:vertAlign w:val="subscript"/>
        </w:rPr>
        <w:t>ij</w:t>
      </w:r>
      <w:r>
        <w:rPr>
          <w:rFonts w:ascii="Georgia" w:hAnsi="Georgia"/>
          <w:color w:val="1F1F1F"/>
          <w:highlight w:val="none"/>
        </w:rPr>
        <w:t xml:space="preserve"> is the distance between demand </w:t>
      </w:r>
      <w:r>
        <w:rPr>
          <w:rStyle w:val="17"/>
          <w:rFonts w:ascii="Georgia" w:hAnsi="Georgia"/>
          <w:color w:val="1F1F1F"/>
          <w:highlight w:val="none"/>
        </w:rPr>
        <w:t>i</w:t>
      </w:r>
      <w:r>
        <w:rPr>
          <w:rFonts w:ascii="Georgia" w:hAnsi="Georgia"/>
          <w:color w:val="1F1F1F"/>
          <w:highlight w:val="none"/>
        </w:rPr>
        <w:t xml:space="preserve"> and station </w:t>
      </w:r>
      <w:r>
        <w:rPr>
          <w:rStyle w:val="17"/>
          <w:rFonts w:ascii="Georgia" w:hAnsi="Georgia"/>
          <w:color w:val="1F1F1F"/>
          <w:highlight w:val="none"/>
        </w:rPr>
        <w:t>j</w:t>
      </w:r>
      <w:r>
        <w:rPr>
          <w:rFonts w:ascii="Georgia" w:hAnsi="Georgia"/>
          <w:color w:val="1F1F1F"/>
          <w:highlight w:val="none"/>
        </w:rPr>
        <w:t>;</w:t>
      </w:r>
    </w:p>
    <w:p w14:paraId="2887E0B3">
      <w:pPr>
        <w:spacing w:line="240" w:lineRule="auto"/>
        <w:ind w:firstLine="720"/>
        <w:rPr>
          <w:rFonts w:ascii="Georgia" w:hAnsi="Georgia"/>
          <w:color w:val="1F1F1F"/>
          <w:highlight w:val="none"/>
        </w:rPr>
      </w:pPr>
      <w:r>
        <w:rPr>
          <w:rStyle w:val="17"/>
          <w:color w:val="1F1F1F"/>
          <w:highlight w:val="none"/>
        </w:rPr>
        <w:t>S</w:t>
      </w:r>
      <w:r>
        <w:rPr>
          <w:rFonts w:ascii="Georgia" w:hAnsi="Georgia"/>
          <w:color w:val="1F1F1F"/>
          <w:highlight w:val="none"/>
        </w:rPr>
        <w:t xml:space="preserve"> is the service standard;</w:t>
      </w:r>
    </w:p>
    <w:p w14:paraId="706C1DD1">
      <w:pPr>
        <w:spacing w:line="240" w:lineRule="auto"/>
        <w:ind w:firstLine="720"/>
        <w:rPr>
          <w:color w:val="1F1F1F"/>
          <w:highlight w:val="none"/>
        </w:rPr>
      </w:pPr>
      <w:r>
        <w:rPr>
          <w:i/>
          <w:iCs/>
          <w:color w:val="1F1F1F"/>
          <w:highlight w:val="none"/>
        </w:rPr>
        <w:t>Ω</w:t>
      </w:r>
      <w:r>
        <w:rPr>
          <w:i/>
          <w:iCs/>
          <w:color w:val="1F1F1F"/>
          <w:highlight w:val="none"/>
          <w:vertAlign w:val="subscript"/>
        </w:rPr>
        <w:t>i</w:t>
      </w:r>
      <w:r>
        <w:rPr>
          <w:i/>
          <w:iCs/>
          <w:color w:val="1F1F1F"/>
          <w:highlight w:val="none"/>
        </w:rPr>
        <w:t xml:space="preserve"> </w:t>
      </w:r>
      <w:r>
        <w:rPr>
          <w:color w:val="1F1F1F"/>
          <w:highlight w:val="none"/>
        </w:rPr>
        <w:t xml:space="preserve">is the set of fire stations capable of serving demand </w:t>
      </w:r>
      <w:r>
        <w:rPr>
          <w:i/>
          <w:iCs/>
          <w:color w:val="1F1F1F"/>
          <w:highlight w:val="none"/>
        </w:rPr>
        <w:t>i</w:t>
      </w:r>
      <w:r>
        <w:rPr>
          <w:color w:val="1F1F1F"/>
          <w:highlight w:val="none"/>
        </w:rPr>
        <w:t>, {</w:t>
      </w:r>
      <w:r>
        <w:rPr>
          <w:i/>
          <w:iCs/>
          <w:color w:val="1F1F1F"/>
          <w:highlight w:val="none"/>
        </w:rPr>
        <w:t>j</w:t>
      </w:r>
      <w:r>
        <w:rPr>
          <w:color w:val="1F1F1F"/>
          <w:highlight w:val="none"/>
        </w:rPr>
        <w:t xml:space="preserve">| </w:t>
      </w:r>
      <w:r>
        <w:rPr>
          <w:i/>
          <w:iCs/>
          <w:color w:val="1F1F1F"/>
          <w:highlight w:val="none"/>
        </w:rPr>
        <w:t>d</w:t>
      </w:r>
      <w:r>
        <w:rPr>
          <w:i/>
          <w:iCs/>
          <w:color w:val="1F1F1F"/>
          <w:highlight w:val="none"/>
          <w:vertAlign w:val="subscript"/>
        </w:rPr>
        <w:t>ij</w:t>
      </w:r>
      <w:r>
        <w:rPr>
          <w:color w:val="1F1F1F"/>
          <w:highlight w:val="none"/>
        </w:rPr>
        <w:t> </w:t>
      </w:r>
      <w:r>
        <w:rPr>
          <w:rFonts w:hint="eastAsia"/>
          <w:color w:val="1F1F1F"/>
          <w:highlight w:val="none"/>
        </w:rPr>
        <w:t>≤</w:t>
      </w:r>
      <w:r>
        <w:rPr>
          <w:color w:val="1F1F1F"/>
          <w:highlight w:val="none"/>
        </w:rPr>
        <w:t> </w:t>
      </w:r>
      <w:r>
        <w:rPr>
          <w:i/>
          <w:iCs/>
          <w:color w:val="1F1F1F"/>
          <w:highlight w:val="none"/>
        </w:rPr>
        <w:t>S</w:t>
      </w:r>
      <w:r>
        <w:rPr>
          <w:color w:val="1F1F1F"/>
          <w:highlight w:val="none"/>
        </w:rPr>
        <w:t>};</w:t>
      </w:r>
    </w:p>
    <w:p w14:paraId="78E84D1E">
      <w:pPr>
        <w:spacing w:line="240" w:lineRule="auto"/>
        <w:ind w:firstLine="720"/>
        <w:rPr>
          <w:color w:val="1F1F1F"/>
          <w:highlight w:val="none"/>
        </w:rPr>
      </w:pPr>
      <w:r>
        <w:rPr>
          <w:i/>
          <w:iCs/>
          <w:color w:val="1F1F1F"/>
          <w:highlight w:val="none"/>
          <w:lang w:val="en-US" w:eastAsia="zh-CN"/>
        </w:rPr>
        <w:t>Y</w:t>
      </w:r>
      <w:r>
        <w:rPr>
          <w:i/>
          <w:iCs/>
          <w:color w:val="1F1F1F"/>
          <w:highlight w:val="none"/>
          <w:vertAlign w:val="subscript"/>
          <w:lang w:val="en-US" w:eastAsia="zh-CN"/>
        </w:rPr>
        <w:t>j</w:t>
      </w:r>
      <w:r>
        <w:rPr>
          <w:color w:val="1F1F1F"/>
          <w:highlight w:val="none"/>
          <w:lang w:val="en-US" w:eastAsia="zh-CN"/>
        </w:rPr>
        <w:t xml:space="preserve"> </w:t>
      </w:r>
      <w:r>
        <w:rPr>
          <w:highlight w:val="none"/>
        </w:rPr>
        <w:t xml:space="preserve">equals 1 if a fire station is located at site </w:t>
      </w:r>
      <w:r>
        <w:rPr>
          <w:rStyle w:val="36"/>
          <w:i/>
          <w:iCs/>
          <w:highlight w:val="none"/>
        </w:rPr>
        <w:t>j</w:t>
      </w:r>
      <w:r>
        <w:rPr>
          <w:highlight w:val="none"/>
        </w:rPr>
        <w:t>, and 0 otherwise;</w:t>
      </w:r>
    </w:p>
    <w:p w14:paraId="3038BCFA">
      <w:pPr>
        <w:spacing w:line="240" w:lineRule="auto"/>
        <w:ind w:firstLine="720"/>
        <w:rPr>
          <w:rFonts w:hint="default"/>
          <w:color w:val="1F1F1F"/>
          <w:highlight w:val="none"/>
          <w:lang w:val="en-US" w:eastAsia="zh-CN"/>
        </w:rPr>
      </w:pPr>
      <w:r>
        <w:rPr>
          <w:i/>
          <w:iCs/>
          <w:color w:val="1F1F1F"/>
          <w:highlight w:val="none"/>
          <w:lang w:val="en-US" w:eastAsia="zh-CN"/>
        </w:rPr>
        <w:t>X</w:t>
      </w:r>
      <w:r>
        <w:rPr>
          <w:i/>
          <w:iCs/>
          <w:color w:val="1F1F1F"/>
          <w:highlight w:val="none"/>
          <w:vertAlign w:val="subscript"/>
          <w:lang w:val="en-US" w:eastAsia="zh-CN"/>
        </w:rPr>
        <w:t>ij</w:t>
      </w:r>
      <w:r>
        <w:rPr>
          <w:color w:val="1F1F1F"/>
          <w:highlight w:val="none"/>
          <w:lang w:val="en-US" w:eastAsia="zh-CN"/>
        </w:rPr>
        <w:t xml:space="preserve"> is the proportion of demand at </w:t>
      </w:r>
      <w:r>
        <w:rPr>
          <w:i/>
          <w:iCs/>
          <w:color w:val="1F1F1F"/>
          <w:highlight w:val="none"/>
          <w:lang w:val="en-US" w:eastAsia="zh-CN"/>
        </w:rPr>
        <w:t xml:space="preserve">i </w:t>
      </w:r>
      <w:r>
        <w:rPr>
          <w:color w:val="1F1F1F"/>
          <w:highlight w:val="none"/>
          <w:lang w:val="en-US" w:eastAsia="zh-CN"/>
        </w:rPr>
        <w:t xml:space="preserve">that is provided by station </w:t>
      </w:r>
      <w:r>
        <w:rPr>
          <w:i/>
          <w:iCs/>
          <w:color w:val="1F1F1F"/>
          <w:highlight w:val="none"/>
          <w:lang w:val="en-US" w:eastAsia="zh-CN"/>
        </w:rPr>
        <w:t>j</w:t>
      </w:r>
      <w:r>
        <w:rPr>
          <w:rFonts w:hint="default"/>
          <w:color w:val="1F1F1F"/>
          <w:highlight w:val="none"/>
          <w:lang w:val="en-US" w:eastAsia="zh-CN"/>
        </w:rPr>
        <w:t>.</w:t>
      </w:r>
    </w:p>
    <w:p w14:paraId="68F751F6">
      <w:pPr>
        <w:spacing w:line="240" w:lineRule="auto"/>
        <w:ind w:firstLine="720"/>
        <w:rPr>
          <w:color w:val="1F1F1F"/>
          <w:highlight w:val="yellow"/>
          <w:vertAlign w:val="subscript"/>
          <w:lang w:val="en-US" w:eastAsia="zh-CN"/>
        </w:rPr>
      </w:pPr>
    </w:p>
    <w:p w14:paraId="45D9D1A6">
      <w:pPr>
        <w:spacing w:line="240" w:lineRule="auto"/>
        <w:rPr>
          <w:rFonts w:hint="default"/>
          <w:highlight w:val="yellow"/>
          <w:lang w:val="en-US" w:eastAsia="zh-CN"/>
        </w:rPr>
      </w:pPr>
      <w:r>
        <w:rPr>
          <w:rFonts w:hint="eastAsia"/>
          <w:highlight w:val="none"/>
          <w:lang w:val="en-US" w:eastAsia="zh-CN"/>
        </w:rPr>
        <w:t>Objective 1 minimizes the number of fire stations</w:t>
      </w:r>
      <w:r>
        <w:rPr>
          <w:rFonts w:hint="default"/>
          <w:highlight w:val="none"/>
          <w:lang w:val="en-US" w:eastAsia="zh-CN"/>
        </w:rPr>
        <w:t xml:space="preserve"> in the system</w:t>
      </w:r>
      <w:r>
        <w:rPr>
          <w:rFonts w:hint="eastAsia"/>
          <w:highlight w:val="none"/>
          <w:lang w:val="en-US" w:eastAsia="zh-CN"/>
        </w:rPr>
        <w:t xml:space="preserve">, while </w:t>
      </w:r>
      <w:r>
        <w:rPr>
          <w:rFonts w:hint="default"/>
          <w:highlight w:val="none"/>
          <w:lang w:val="en-US" w:eastAsia="zh-CN"/>
        </w:rPr>
        <w:t>Objective</w:t>
      </w:r>
      <w:r>
        <w:rPr>
          <w:rFonts w:hint="eastAsia"/>
          <w:highlight w:val="none"/>
          <w:lang w:val="en-US" w:eastAsia="zh-CN"/>
        </w:rPr>
        <w:t xml:space="preserve"> 2 minimizes the total fire-risk-weighted distance between demand </w:t>
      </w:r>
      <w:r>
        <w:rPr>
          <w:rFonts w:hint="default"/>
          <w:highlight w:val="none"/>
          <w:lang w:val="en-US" w:eastAsia="zh-CN"/>
        </w:rPr>
        <w:t>units</w:t>
      </w:r>
      <w:r>
        <w:rPr>
          <w:rFonts w:hint="eastAsia"/>
          <w:highlight w:val="none"/>
          <w:lang w:val="en-US" w:eastAsia="zh-CN"/>
        </w:rPr>
        <w:t xml:space="preserve"> and fire stations. </w:t>
      </w:r>
      <w:r>
        <w:rPr>
          <w:rFonts w:hint="default"/>
          <w:highlight w:val="none"/>
          <w:lang w:val="en-US" w:eastAsia="zh-CN"/>
        </w:rPr>
        <w:t>Constraint</w:t>
      </w:r>
      <w:r>
        <w:rPr>
          <w:highlight w:val="none"/>
          <w:lang w:val="en-US" w:eastAsia="zh-CN"/>
        </w:rPr>
        <w:t xml:space="preserve"> 3 ensures that all demand </w:t>
      </w:r>
      <w:r>
        <w:rPr>
          <w:rFonts w:hint="default"/>
          <w:highlight w:val="none"/>
          <w:lang w:val="en-US" w:eastAsia="zh-CN"/>
        </w:rPr>
        <w:t>unit</w:t>
      </w:r>
      <w:r>
        <w:rPr>
          <w:highlight w:val="none"/>
          <w:lang w:val="en-US" w:eastAsia="zh-CN"/>
        </w:rPr>
        <w:t>s are fully served</w:t>
      </w:r>
      <w:r>
        <w:rPr>
          <w:rFonts w:hint="eastAsia"/>
          <w:highlight w:val="none"/>
          <w:lang w:val="en-US" w:eastAsia="zh-CN"/>
        </w:rPr>
        <w:t xml:space="preserve"> and </w:t>
      </w:r>
      <w:r>
        <w:rPr>
          <w:rFonts w:hint="default"/>
          <w:highlight w:val="none"/>
          <w:lang w:val="en-US" w:eastAsia="zh-CN"/>
        </w:rPr>
        <w:t>Constraint</w:t>
      </w:r>
      <w:r>
        <w:rPr>
          <w:highlight w:val="none"/>
          <w:lang w:val="en-US" w:eastAsia="zh-CN"/>
        </w:rPr>
        <w:t xml:space="preserve"> 4 ensures that each demand </w:t>
      </w:r>
      <w:r>
        <w:rPr>
          <w:rFonts w:hint="default"/>
          <w:highlight w:val="none"/>
          <w:lang w:val="en-US" w:eastAsia="zh-CN"/>
        </w:rPr>
        <w:t>unit</w:t>
      </w:r>
      <w:r>
        <w:rPr>
          <w:highlight w:val="none"/>
          <w:lang w:val="en-US" w:eastAsia="zh-CN"/>
        </w:rPr>
        <w:t xml:space="preserve"> can only be served by stations that are </w:t>
      </w:r>
      <w:r>
        <w:rPr>
          <w:rFonts w:hint="default"/>
          <w:highlight w:val="none"/>
          <w:lang w:val="en-US" w:eastAsia="zh-CN"/>
        </w:rPr>
        <w:t>chosen</w:t>
      </w:r>
      <w:r>
        <w:rPr>
          <w:highlight w:val="none"/>
          <w:lang w:val="en-US" w:eastAsia="zh-CN"/>
        </w:rPr>
        <w:t>.</w:t>
      </w:r>
      <w:r>
        <w:rPr>
          <w:rFonts w:hint="eastAsia"/>
          <w:highlight w:val="none"/>
          <w:lang w:val="en-US" w:eastAsia="zh-CN"/>
        </w:rPr>
        <w:t xml:space="preserve"> </w:t>
      </w:r>
      <w:r>
        <w:rPr>
          <w:rFonts w:hint="default"/>
          <w:highlight w:val="none"/>
          <w:lang w:val="en-US" w:eastAsia="zh-CN"/>
        </w:rPr>
        <w:t>Constraint</w:t>
      </w:r>
      <w:r>
        <w:rPr>
          <w:highlight w:val="none"/>
          <w:lang w:val="en-US" w:eastAsia="zh-CN"/>
        </w:rPr>
        <w:t xml:space="preserve"> 5 </w:t>
      </w:r>
      <w:r>
        <w:rPr>
          <w:rFonts w:hint="default"/>
          <w:highlight w:val="none"/>
          <w:lang w:val="en-US" w:eastAsia="zh-CN"/>
        </w:rPr>
        <w:t>specifies</w:t>
      </w:r>
      <w:r>
        <w:rPr>
          <w:highlight w:val="none"/>
          <w:lang w:val="en-US" w:eastAsia="zh-CN"/>
        </w:rPr>
        <w:t xml:space="preserve"> the number of existing stations to stay in the system.</w:t>
      </w:r>
      <w:r>
        <w:rPr>
          <w:highlight w:val="yellow"/>
          <w:lang w:val="en-US" w:eastAsia="zh-CN"/>
        </w:rPr>
        <w:t xml:space="preserve"> </w:t>
      </w:r>
      <w:r>
        <w:rPr>
          <w:rFonts w:hint="default"/>
          <w:highlight w:val="none"/>
          <w:lang w:val="en-US" w:eastAsia="zh-CN"/>
        </w:rPr>
        <w:t>Constraint 6 requires each candidate station to be either selected or not selected, and Constraint 7 ensures that the proportion of demand assigned to a station is non-negative. It should be noted that, although Constraint 7 allows continuous allocation, Objective 2 drives the allocation to 0 or 1, so each demand area is fully served by its nearest selected fire station.</w:t>
      </w:r>
      <w:r>
        <w:rPr>
          <w:rFonts w:hint="eastAsia"/>
          <w:highlight w:val="none"/>
          <w:lang w:val="en-US" w:eastAsia="zh-CN"/>
        </w:rPr>
        <w:t xml:space="preserve"> Constraint 8 limits the total number of fire stations sited in the system.</w:t>
      </w:r>
    </w:p>
    <w:p w14:paraId="40222DC4">
      <w:pPr>
        <w:spacing w:line="240" w:lineRule="auto"/>
        <w:rPr>
          <w:highlight w:val="yellow"/>
          <w:lang w:val="en-US" w:eastAsia="zh-CN"/>
        </w:rPr>
      </w:pPr>
    </w:p>
    <w:p w14:paraId="68D3AE23">
      <w:pPr>
        <w:spacing w:line="240" w:lineRule="auto"/>
        <w:rPr>
          <w:highlight w:val="yellow"/>
          <w:lang w:val="en-US" w:eastAsia="zh-CN"/>
        </w:rPr>
      </w:pPr>
      <w:r>
        <w:rPr>
          <w:highlight w:val="none"/>
          <w:lang w:val="en-US" w:eastAsia="zh-CN"/>
        </w:rPr>
        <w:t xml:space="preserve">The solution procedure involves </w:t>
      </w:r>
      <w:r>
        <w:rPr>
          <w:rFonts w:hint="default"/>
          <w:highlight w:val="none"/>
          <w:lang w:val="en-US" w:eastAsia="zh-CN"/>
        </w:rPr>
        <w:t>two</w:t>
      </w:r>
      <w:r>
        <w:rPr>
          <w:highlight w:val="none"/>
          <w:lang w:val="en-US" w:eastAsia="zh-CN"/>
        </w:rPr>
        <w:t xml:space="preserve"> steps.</w:t>
      </w:r>
      <w:r>
        <w:rPr>
          <w:rFonts w:hint="eastAsia"/>
          <w:highlight w:val="none"/>
          <w:lang w:val="en-US" w:eastAsia="zh-CN"/>
        </w:rPr>
        <w:t xml:space="preserve"> First</w:t>
      </w:r>
      <w:r>
        <w:rPr>
          <w:rFonts w:hint="default"/>
          <w:highlight w:val="none"/>
          <w:lang w:val="en-US" w:eastAsia="zh-CN"/>
        </w:rPr>
        <w:t xml:space="preserve">, </w:t>
      </w:r>
      <w:r>
        <w:rPr>
          <w:rFonts w:hint="eastAsia"/>
          <w:highlight w:val="none"/>
          <w:lang w:val="en-US" w:eastAsia="zh-CN"/>
        </w:rPr>
        <w:t>the minimum number of fire stations (</w:t>
      </w:r>
      <w:r>
        <w:rPr>
          <w:rFonts w:hint="default" w:ascii="Times New Roman Italic" w:hAnsi="Times New Roman Italic" w:cs="Times New Roman Italic"/>
          <w:i/>
          <w:iCs/>
          <w:highlight w:val="none"/>
          <w:lang w:val="en-US" w:eastAsia="zh-CN"/>
        </w:rPr>
        <w:t>p</w:t>
      </w:r>
      <w:r>
        <w:rPr>
          <w:rFonts w:hint="default" w:ascii="Times New Roman Italic" w:hAnsi="Times New Roman Italic" w:cs="Times New Roman Italic"/>
          <w:i/>
          <w:iCs/>
          <w:highlight w:val="none"/>
          <w:vertAlign w:val="subscript"/>
          <w:lang w:val="en-US" w:eastAsia="zh-CN"/>
        </w:rPr>
        <w:t>min</w:t>
      </w:r>
      <w:r>
        <w:rPr>
          <w:rFonts w:hint="eastAsia"/>
          <w:highlight w:val="none"/>
          <w:lang w:val="en-US" w:eastAsia="zh-CN"/>
        </w:rPr>
        <w:t xml:space="preserve">) </w:t>
      </w:r>
      <w:r>
        <w:rPr>
          <w:rFonts w:hint="default"/>
          <w:highlight w:val="none"/>
          <w:lang w:val="en-US" w:eastAsia="zh-CN"/>
        </w:rPr>
        <w:t>required to achieve full coverage is determined by optimizing Objective 1 subject to Constraints 3–7</w:t>
      </w:r>
      <w:r>
        <w:rPr>
          <w:rFonts w:hint="eastAsia"/>
          <w:highlight w:val="none"/>
          <w:lang w:val="en-US" w:eastAsia="zh-CN"/>
        </w:rPr>
        <w:t>.</w:t>
      </w:r>
      <w:r>
        <w:rPr>
          <w:rFonts w:hint="default"/>
          <w:highlight w:val="none"/>
          <w:lang w:val="en-US" w:eastAsia="zh-CN"/>
        </w:rPr>
        <w:t xml:space="preserve"> </w:t>
      </w:r>
      <w:r>
        <w:rPr>
          <w:rFonts w:hint="eastAsia"/>
          <w:highlight w:val="none"/>
          <w:lang w:val="en-US" w:eastAsia="zh-CN"/>
        </w:rPr>
        <w:t>Second</w:t>
      </w:r>
      <w:r>
        <w:rPr>
          <w:highlight w:val="none"/>
          <w:lang w:val="en-US" w:eastAsia="zh-CN"/>
        </w:rPr>
        <w:t>,</w:t>
      </w:r>
      <w:r>
        <w:rPr>
          <w:rFonts w:hint="eastAsia"/>
          <w:highlight w:val="none"/>
          <w:lang w:val="en-US" w:eastAsia="zh-CN"/>
        </w:rPr>
        <w:t xml:space="preserve"> </w:t>
      </w:r>
      <w:r>
        <w:rPr>
          <w:highlight w:val="none"/>
          <w:lang w:val="en-US" w:eastAsia="zh-CN"/>
        </w:rPr>
        <w:t xml:space="preserve">the obtained </w:t>
      </w:r>
      <w:r>
        <w:rPr>
          <w:i/>
          <w:iCs/>
          <w:highlight w:val="none"/>
          <w:lang w:val="en-US" w:eastAsia="zh-CN"/>
        </w:rPr>
        <w:t>p</w:t>
      </w:r>
      <w:r>
        <w:rPr>
          <w:rFonts w:hint="default" w:ascii="Times New Roman Italic" w:hAnsi="Times New Roman Italic" w:cs="Times New Roman Italic"/>
          <w:i/>
          <w:iCs/>
          <w:highlight w:val="none"/>
          <w:vertAlign w:val="subscript"/>
          <w:lang w:val="en-US" w:eastAsia="zh-CN"/>
        </w:rPr>
        <w:t>min</w:t>
      </w:r>
      <w:r>
        <w:rPr>
          <w:highlight w:val="none"/>
          <w:lang w:val="en-US" w:eastAsia="zh-CN"/>
        </w:rPr>
        <w:t xml:space="preserve"> </w:t>
      </w:r>
      <w:r>
        <w:rPr>
          <w:rFonts w:hint="eastAsia"/>
          <w:highlight w:val="none"/>
          <w:lang w:val="en-US" w:eastAsia="zh-CN"/>
        </w:rPr>
        <w:t>is</w:t>
      </w:r>
      <w:r>
        <w:rPr>
          <w:rFonts w:hint="default"/>
          <w:highlight w:val="none"/>
          <w:lang w:val="en-US" w:eastAsia="zh-CN"/>
        </w:rPr>
        <w:t xml:space="preserve"> substituted </w:t>
      </w:r>
      <w:r>
        <w:rPr>
          <w:highlight w:val="none"/>
          <w:lang w:val="en-US" w:eastAsia="zh-CN"/>
        </w:rPr>
        <w:t>into Constraint 8</w:t>
      </w:r>
      <w:r>
        <w:rPr>
          <w:rFonts w:hint="default"/>
          <w:highlight w:val="none"/>
          <w:lang w:val="en-US" w:eastAsia="zh-CN"/>
        </w:rPr>
        <w:t xml:space="preserve">, </w:t>
      </w:r>
      <w:r>
        <w:rPr>
          <w:rFonts w:hint="eastAsia"/>
          <w:highlight w:val="none"/>
          <w:lang w:val="en-US" w:eastAsia="zh-CN"/>
        </w:rPr>
        <w:t>and Objective 2 is optimized subject to Constraints 3–8</w:t>
      </w:r>
      <w:r>
        <w:rPr>
          <w:highlight w:val="none"/>
          <w:lang w:val="en-US" w:eastAsia="zh-CN"/>
        </w:rPr>
        <w:t>.</w:t>
      </w:r>
      <w:r>
        <w:rPr>
          <w:rFonts w:hint="eastAsia"/>
          <w:highlight w:val="none"/>
          <w:lang w:val="en-US" w:eastAsia="zh-CN"/>
        </w:rPr>
        <w:t xml:space="preserve"> Given the bi-objective nature of the model, a single solution cannot generally optimize both objectives simultaneously; therefore, Pareto-optimal solutions are sought.</w:t>
      </w:r>
      <w:r>
        <w:rPr>
          <w:rFonts w:hint="default"/>
          <w:highlight w:val="none"/>
          <w:lang w:val="en-US" w:eastAsia="zh-CN"/>
        </w:rPr>
        <w:t xml:space="preserve"> </w:t>
      </w:r>
      <w:r>
        <w:rPr>
          <w:rFonts w:hint="eastAsia"/>
          <w:highlight w:val="none"/>
          <w:lang w:val="en-US" w:eastAsia="zh-CN"/>
        </w:rPr>
        <w:t>A Pareto-optimal solution is one in which one objective cannot be improved without worsening the other</w:t>
      </w:r>
      <w:r>
        <w:rPr>
          <w:rFonts w:hint="default"/>
          <w:highlight w:val="none"/>
          <w:lang w:val="en-US" w:eastAsia="zh-CN"/>
        </w:rPr>
        <w:t xml:space="preserve"> </w:t>
      </w:r>
      <w:r>
        <w:rPr>
          <w:highlight w:val="none"/>
          <w:lang w:val="en-US" w:eastAsia="zh-CN"/>
        </w:rPr>
        <w:fldChar w:fldCharType="begin"/>
      </w:r>
      <w:r>
        <w:rPr>
          <w:rFonts w:hint="eastAsia"/>
          <w:highlight w:val="none"/>
          <w:lang w:val="en-US" w:eastAsia="zh-CN"/>
        </w:rPr>
        <w:instrText xml:space="preserve"> ADDIN ZOTERO_ITEM CSL_CITATION {"citationID":"o68Qj3g2","properties":{"formattedCitation":"(Coello &lt;i&gt;et al.&lt;/i&gt;, 2023)","plainCitation":"(Coello et al., 2023)","noteIndex":0},"citationItems":[{"id":"p9WZ4uIC/aNe7rVwe","uris":["http://zotero.org/users/14687918/items/9LFLPDBH"],"itemData":{"id":245,"type":"book","ISBN":"978-3-0365-6981-9","language":"en","note":"DOI: 10.3390/books978-3-0365-6981-9","publisher":"MDPI","source":"DOI.org (Crossref)","title":"Evolutionary Multi-objective Optimization: An Honorary Issue Dedicated to Professor Kalyanmoy Deb","title-short":"Evolutionary Multi-objective Optimization","URL":"https://www.mdpi.com/books/book/7055","editor":[{"family":"Coello","given":"Carlos"},{"family":"Goodman","given":"Erik"},{"family":"Miettinen","given":"Kaisa"},{"family":"Saxena","given":"Dhish"},{"family":"Schütze","given":"Oliver"},{"family":"Thiele","given":"Lothar"}],"accessed":{"date-parts":[["2025",1,20]]},"issued":{"date-parts":[["2023",3,28]]}}}],"schema":"https://github.com/citation-style-language/schema/raw/master/csl-citation.json"} </w:instrText>
      </w:r>
      <w:r>
        <w:rPr>
          <w:highlight w:val="none"/>
          <w:lang w:val="en-US" w:eastAsia="zh-CN"/>
        </w:rPr>
        <w:fldChar w:fldCharType="separate"/>
      </w:r>
      <w:r>
        <w:rPr>
          <w:highlight w:val="none"/>
        </w:rPr>
        <w:t xml:space="preserve">(Coello </w:t>
      </w:r>
      <w:r>
        <w:rPr>
          <w:i/>
          <w:highlight w:val="none"/>
        </w:rPr>
        <w:t>et al.</w:t>
      </w:r>
      <w:r>
        <w:rPr>
          <w:highlight w:val="none"/>
        </w:rPr>
        <w:t>, 2023)</w:t>
      </w:r>
      <w:r>
        <w:rPr>
          <w:highlight w:val="none"/>
          <w:lang w:val="en-US" w:eastAsia="zh-CN"/>
        </w:rPr>
        <w:fldChar w:fldCharType="end"/>
      </w:r>
      <w:r>
        <w:rPr>
          <w:highlight w:val="none"/>
          <w:lang w:val="en-US" w:eastAsia="zh-CN"/>
        </w:rPr>
        <w:t>.</w:t>
      </w:r>
      <w:r>
        <w:rPr>
          <w:rFonts w:hint="default"/>
          <w:highlight w:val="none"/>
          <w:lang w:val="en-US" w:eastAsia="zh-CN"/>
        </w:rPr>
        <w:t xml:space="preserve"> T</w:t>
      </w:r>
      <w:r>
        <w:rPr>
          <w:highlight w:val="none"/>
          <w:lang w:val="en-US" w:eastAsia="zh-CN"/>
        </w:rPr>
        <w:t xml:space="preserve">he value of </w:t>
      </w:r>
      <w:r>
        <w:rPr>
          <w:rFonts w:hint="eastAsia"/>
          <w:i/>
          <w:iCs/>
          <w:highlight w:val="none"/>
          <w:lang w:val="en-US" w:eastAsia="zh-CN"/>
        </w:rPr>
        <w:t>p</w:t>
      </w:r>
      <w:r>
        <w:rPr>
          <w:rFonts w:hint="eastAsia"/>
          <w:highlight w:val="none"/>
          <w:lang w:val="en-US" w:eastAsia="zh-CN"/>
        </w:rPr>
        <w:t xml:space="preserve"> </w:t>
      </w:r>
      <w:r>
        <w:rPr>
          <w:rFonts w:hint="default"/>
          <w:highlight w:val="none"/>
          <w:lang w:val="en-US" w:eastAsia="zh-CN"/>
        </w:rPr>
        <w:t xml:space="preserve">is </w:t>
      </w:r>
      <w:r>
        <w:rPr>
          <w:highlight w:val="none"/>
          <w:lang w:val="en-US" w:eastAsia="zh-CN"/>
        </w:rPr>
        <w:t>increas</w:t>
      </w:r>
      <w:r>
        <w:rPr>
          <w:rFonts w:hint="default"/>
          <w:highlight w:val="none"/>
          <w:lang w:val="en-US" w:eastAsia="zh-CN"/>
        </w:rPr>
        <w:t xml:space="preserve">ed </w:t>
      </w:r>
      <w:r>
        <w:rPr>
          <w:highlight w:val="none"/>
          <w:lang w:val="en-US" w:eastAsia="zh-CN"/>
        </w:rPr>
        <w:t xml:space="preserve">gradually </w:t>
      </w:r>
      <w:r>
        <w:rPr>
          <w:rFonts w:hint="eastAsia"/>
          <w:highlight w:val="none"/>
          <w:lang w:val="en-US" w:eastAsia="zh-CN"/>
        </w:rPr>
        <w:t xml:space="preserve">from </w:t>
      </w:r>
      <w:r>
        <w:rPr>
          <w:i/>
          <w:iCs/>
          <w:highlight w:val="none"/>
          <w:lang w:val="en-US" w:eastAsia="zh-CN"/>
        </w:rPr>
        <w:t>p</w:t>
      </w:r>
      <w:r>
        <w:rPr>
          <w:rFonts w:hint="default" w:ascii="Times New Roman Italic" w:hAnsi="Times New Roman Italic" w:cs="Times New Roman Italic"/>
          <w:i/>
          <w:iCs/>
          <w:highlight w:val="none"/>
          <w:vertAlign w:val="subscript"/>
          <w:lang w:val="en-US" w:eastAsia="zh-CN"/>
        </w:rPr>
        <w:t>min</w:t>
      </w:r>
      <w:r>
        <w:rPr>
          <w:rFonts w:hint="default" w:cs="Times New Roman"/>
          <w:i w:val="0"/>
          <w:iCs w:val="0"/>
          <w:highlight w:val="none"/>
          <w:vertAlign w:val="baseline"/>
          <w:lang w:val="en-US" w:eastAsia="zh-CN"/>
        </w:rPr>
        <w:t>, and Objective 2 is repeatedly solved to generate a set of Pareto-optimal solutions</w:t>
      </w:r>
      <w:r>
        <w:rPr>
          <w:highlight w:val="none"/>
          <w:lang w:val="en-US" w:eastAsia="zh-CN"/>
        </w:rPr>
        <w:t>.</w:t>
      </w:r>
      <w:r>
        <w:rPr>
          <w:rFonts w:hint="eastAsia"/>
          <w:highlight w:val="none"/>
          <w:lang w:val="en-US" w:eastAsia="zh-CN"/>
        </w:rPr>
        <w:t xml:space="preserve"> The model was solved using the CBC solver in Python.</w:t>
      </w:r>
    </w:p>
    <w:p w14:paraId="47C35089">
      <w:pPr>
        <w:spacing w:line="240" w:lineRule="auto"/>
        <w:rPr>
          <w:highlight w:val="yellow"/>
          <w:lang w:val="en-US" w:eastAsia="zh-CN"/>
        </w:rPr>
      </w:pPr>
    </w:p>
    <w:p w14:paraId="3AFA4955">
      <w:pPr>
        <w:pStyle w:val="2"/>
        <w:bidi w:val="0"/>
        <w:spacing w:line="240" w:lineRule="auto"/>
        <w:rPr>
          <w:highlight w:val="none"/>
          <w:lang w:eastAsia="zh-CN"/>
        </w:rPr>
      </w:pPr>
      <w:r>
        <w:rPr>
          <w:highlight w:val="none"/>
        </w:rPr>
        <w:t>Results</w:t>
      </w:r>
    </w:p>
    <w:p w14:paraId="4DFB5DEA">
      <w:pPr>
        <w:spacing w:line="240" w:lineRule="auto"/>
        <w:rPr>
          <w:highlight w:val="yellow"/>
          <w:lang w:eastAsia="zh-CN"/>
        </w:rPr>
      </w:pPr>
    </w:p>
    <w:p w14:paraId="03D72EDE">
      <w:pPr>
        <w:spacing w:line="240" w:lineRule="auto"/>
        <w:rPr>
          <w:rFonts w:hint="default"/>
          <w:highlight w:val="none"/>
          <w:lang w:val="en-US" w:eastAsia="zh-CN"/>
        </w:rPr>
      </w:pPr>
      <w:r>
        <w:rPr>
          <w:rFonts w:hint="eastAsia"/>
          <w:highlight w:val="none"/>
          <w:lang w:eastAsia="zh-CN"/>
        </w:rPr>
        <w:t>Using the methods described above, we examined five scenarios, ranging from retaining none of the existing fire stations (</w:t>
      </w:r>
      <w:r>
        <w:rPr>
          <w:rFonts w:hint="default" w:ascii="Times New Roman Italic" w:hAnsi="Times New Roman Italic" w:cs="Times New Roman Italic"/>
          <w:i/>
          <w:iCs/>
          <w:highlight w:val="none"/>
          <w:lang w:eastAsia="zh-CN"/>
        </w:rPr>
        <w:t>q</w:t>
      </w:r>
      <w:r>
        <w:rPr>
          <w:rFonts w:hint="eastAsia"/>
          <w:highlight w:val="none"/>
          <w:lang w:eastAsia="zh-CN"/>
        </w:rPr>
        <w:t xml:space="preserve"> = 0), through retaining some (</w:t>
      </w:r>
      <w:r>
        <w:rPr>
          <w:rFonts w:hint="default" w:ascii="Times New Roman Italic" w:hAnsi="Times New Roman Italic" w:cs="Times New Roman Italic"/>
          <w:i/>
          <w:iCs/>
          <w:highlight w:val="none"/>
          <w:lang w:eastAsia="zh-CN"/>
        </w:rPr>
        <w:t>q</w:t>
      </w:r>
      <w:r>
        <w:rPr>
          <w:rFonts w:hint="eastAsia"/>
          <w:highlight w:val="none"/>
          <w:lang w:eastAsia="zh-CN"/>
        </w:rPr>
        <w:t xml:space="preserve"> = 1, 2, 3), to retaining all four (</w:t>
      </w:r>
      <w:r>
        <w:rPr>
          <w:rFonts w:hint="default" w:ascii="Times New Roman Italic" w:hAnsi="Times New Roman Italic" w:cs="Times New Roman Italic"/>
          <w:i/>
          <w:iCs/>
          <w:highlight w:val="none"/>
          <w:lang w:eastAsia="zh-CN"/>
        </w:rPr>
        <w:t>q</w:t>
      </w:r>
      <w:r>
        <w:rPr>
          <w:rFonts w:hint="eastAsia"/>
          <w:highlight w:val="none"/>
          <w:lang w:eastAsia="zh-CN"/>
        </w:rPr>
        <w:t xml:space="preserve"> = 4).</w:t>
      </w:r>
      <w:r>
        <w:rPr>
          <w:rFonts w:hint="eastAsia"/>
          <w:highlight w:val="none"/>
          <w:lang w:val="en-US" w:eastAsia="zh-CN"/>
        </w:rPr>
        <w:t xml:space="preserve"> </w:t>
      </w:r>
      <w:r>
        <w:rPr>
          <w:rFonts w:hint="eastAsia"/>
          <w:highlight w:val="none"/>
          <w:lang w:eastAsia="zh-CN"/>
        </w:rPr>
        <w:t xml:space="preserve">The Pareto fronts </w:t>
      </w:r>
      <w:r>
        <w:rPr>
          <w:rFonts w:hint="default"/>
          <w:highlight w:val="none"/>
          <w:lang w:val="en-US" w:eastAsia="zh-CN"/>
        </w:rPr>
        <w:t xml:space="preserve">in </w:t>
      </w:r>
      <w:r>
        <w:rPr>
          <w:rFonts w:hint="default"/>
          <w:highlight w:val="none"/>
          <w:lang w:val="en-US" w:eastAsia="zh-CN"/>
        </w:rPr>
        <w:fldChar w:fldCharType="begin"/>
      </w:r>
      <w:r>
        <w:rPr>
          <w:highlight w:val="none"/>
        </w:rPr>
        <w:instrText xml:space="preserve"> REF _Ref811981590 \h  \* MERGEFORMAT</w:instrText>
      </w:r>
      <w:r>
        <w:rPr>
          <w:rFonts w:hint="default"/>
          <w:highlight w:val="none"/>
          <w:lang w:val="en-US" w:eastAsia="zh-CN"/>
        </w:rPr>
        <w:fldChar w:fldCharType="separate"/>
      </w:r>
      <w:r>
        <w:rPr>
          <w:rFonts w:hint="default" w:ascii="Times New Roman Bold" w:hAnsi="Times New Roman Bold" w:cs="Times New Roman Bold"/>
          <w:b/>
          <w:bCs/>
          <w:highlight w:val="none"/>
        </w:rPr>
        <w:t>Figure 2</w:t>
      </w:r>
      <w:r>
        <w:rPr>
          <w:rFonts w:hint="default"/>
          <w:highlight w:val="none"/>
          <w:lang w:val="en-US" w:eastAsia="zh-CN"/>
        </w:rPr>
        <w:fldChar w:fldCharType="end"/>
      </w:r>
      <w:r>
        <w:rPr>
          <w:rFonts w:hint="default"/>
          <w:highlight w:val="none"/>
          <w:lang w:val="en-US" w:eastAsia="zh-CN"/>
        </w:rPr>
        <w:t xml:space="preserve"> show the Pareto-optimal solutions for each scenario. All fronts exhibit a monotonically decreasing trend, reflecting a trade-off between the number of stations and accessibility, as more stations reduce the total fire-risk-weighted distance. The gradual flattening</w:t>
      </w:r>
      <w:r>
        <w:rPr>
          <w:rFonts w:hint="eastAsia"/>
          <w:highlight w:val="none"/>
          <w:lang w:val="en-US" w:eastAsia="zh-CN"/>
        </w:rPr>
        <w:t xml:space="preserve"> of</w:t>
      </w:r>
      <w:r>
        <w:rPr>
          <w:rFonts w:hint="default"/>
          <w:highlight w:val="none"/>
          <w:lang w:val="en-US" w:eastAsia="zh-CN"/>
        </w:rPr>
        <w:t xml:space="preserve"> these curves further indicates diminishing returns, with each additional station yielding progressively smaller accessibility improvements. </w:t>
      </w:r>
    </w:p>
    <w:p w14:paraId="08BC58EB">
      <w:pPr>
        <w:spacing w:line="240" w:lineRule="auto"/>
        <w:rPr>
          <w:rFonts w:hint="default"/>
          <w:highlight w:val="none"/>
          <w:lang w:val="en-US" w:eastAsia="zh-CN"/>
        </w:rPr>
      </w:pPr>
    </w:p>
    <w:p w14:paraId="0DD40591">
      <w:pPr>
        <w:spacing w:line="240" w:lineRule="auto"/>
        <w:rPr>
          <w:rFonts w:hint="default"/>
          <w:highlight w:val="none"/>
          <w:lang w:val="en-US" w:eastAsia="zh-CN"/>
        </w:rPr>
      </w:pPr>
      <w:r>
        <w:rPr>
          <w:rFonts w:hint="eastAsia"/>
          <w:highlight w:val="none"/>
          <w:lang w:val="en-US" w:eastAsia="zh-CN"/>
        </w:rPr>
        <w:t>In</w:t>
      </w:r>
      <w:r>
        <w:rPr>
          <w:rFonts w:hint="default"/>
          <w:highlight w:val="none"/>
          <w:lang w:val="en-US" w:eastAsia="zh-CN"/>
        </w:rPr>
        <w:t xml:space="preserve"> addition, t</w:t>
      </w:r>
      <w:r>
        <w:rPr>
          <w:rFonts w:hint="eastAsia"/>
          <w:highlight w:val="none"/>
          <w:lang w:eastAsia="zh-CN"/>
        </w:rPr>
        <w:t>he minimum number of stations required for full coverage increases as more existing stations are retained. Eight stations are sufficient when zero, one, or two existing stations are retained, rising to nine for three retained stations and ten for all four. This suggests that the</w:t>
      </w:r>
      <w:r>
        <w:rPr>
          <w:rFonts w:hint="default"/>
          <w:highlight w:val="none"/>
          <w:lang w:val="en-US" w:eastAsia="zh-CN"/>
        </w:rPr>
        <w:t xml:space="preserve"> current station configuration is</w:t>
      </w:r>
      <w:r>
        <w:rPr>
          <w:rFonts w:hint="eastAsia"/>
          <w:highlight w:val="none"/>
          <w:lang w:eastAsia="zh-CN"/>
        </w:rPr>
        <w:t xml:space="preserve"> not spatially optimal for achieving full coverage with the smallest network.</w:t>
      </w:r>
      <w:r>
        <w:rPr>
          <w:rFonts w:hint="eastAsia"/>
          <w:highlight w:val="none"/>
          <w:lang w:val="en-US" w:eastAsia="zh-CN"/>
        </w:rPr>
        <w:t xml:space="preserve"> Moreover, for a given number of stations,</w:t>
      </w:r>
      <w:r>
        <w:rPr>
          <w:rFonts w:hint="default"/>
          <w:highlight w:val="none"/>
          <w:lang w:val="en-US" w:eastAsia="zh-CN"/>
        </w:rPr>
        <w:t xml:space="preserve"> scenarios retaining more existing stations generally exhibit higher total fire-risk-weighted distances, indicating lower accessibility; however</w:t>
      </w:r>
      <w:r>
        <w:rPr>
          <w:rFonts w:hint="eastAsia"/>
          <w:highlight w:val="none"/>
          <w:lang w:val="en-US" w:eastAsia="zh-CN"/>
        </w:rPr>
        <w:t>, these differences become less pronounced as the network expands, as reflected by the gradual convergence of the Pareto fronts.</w:t>
      </w:r>
      <w:r>
        <w:rPr>
          <w:rFonts w:hint="default"/>
          <w:highlight w:val="none"/>
          <w:lang w:val="en-US" w:eastAsia="zh-CN"/>
        </w:rPr>
        <w:t xml:space="preserve"> This indicates that the accessibility difference associated with retaining existing stations is most important when the network is relatively sparse</w:t>
      </w:r>
      <w:r>
        <w:rPr>
          <w:rFonts w:hint="eastAsia"/>
          <w:highlight w:val="none"/>
          <w:lang w:val="en-US" w:eastAsia="zh-CN"/>
        </w:rPr>
        <w:t xml:space="preserve"> and becomes less significant as more stations are added</w:t>
      </w:r>
      <w:r>
        <w:rPr>
          <w:rFonts w:hint="default"/>
          <w:highlight w:val="none"/>
          <w:lang w:val="en-US" w:eastAsia="zh-CN"/>
        </w:rPr>
        <w:t xml:space="preserve">. </w:t>
      </w:r>
    </w:p>
    <w:p w14:paraId="28EEFAB9">
      <w:pPr>
        <w:spacing w:line="240" w:lineRule="auto"/>
        <w:rPr>
          <w:rFonts w:hint="default"/>
          <w:highlight w:val="none"/>
          <w:lang w:val="en-US" w:eastAsia="zh-CN"/>
        </w:rPr>
      </w:pPr>
    </w:p>
    <w:p w14:paraId="0712CEE5">
      <w:pPr>
        <w:spacing w:line="240" w:lineRule="auto"/>
        <w:jc w:val="both"/>
        <w:rPr>
          <w:highlight w:val="none"/>
          <w:lang w:val="en-US" w:eastAsia="zh-CN"/>
        </w:rPr>
      </w:pPr>
      <w:r>
        <w:rPr>
          <w:highlight w:val="none"/>
          <w:lang w:val="en-US" w:eastAsia="zh-CN"/>
        </w:rPr>
        <w:drawing>
          <wp:inline distT="0" distB="0" distL="114300" distR="114300">
            <wp:extent cx="5754370" cy="4794885"/>
            <wp:effectExtent l="0" t="0" r="11430" b="5715"/>
            <wp:docPr id="7" name="图片 7" descr="/Users/yezhen/Desktop/项目/空间优化/figure/pareto_front.pngpareto_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sers/yezhen/Desktop/项目/空间优化/figure/pareto_front.pngpareto_front"/>
                    <pic:cNvPicPr>
                      <a:picLocks noChangeAspect="1"/>
                    </pic:cNvPicPr>
                  </pic:nvPicPr>
                  <pic:blipFill>
                    <a:blip r:embed="rId11"/>
                    <a:srcRect t="6" b="6"/>
                    <a:stretch>
                      <a:fillRect/>
                    </a:stretch>
                  </pic:blipFill>
                  <pic:spPr>
                    <a:xfrm>
                      <a:off x="0" y="0"/>
                      <a:ext cx="5754370" cy="4794885"/>
                    </a:xfrm>
                    <a:prstGeom prst="rect">
                      <a:avLst/>
                    </a:prstGeom>
                  </pic:spPr>
                </pic:pic>
              </a:graphicData>
            </a:graphic>
          </wp:inline>
        </w:drawing>
      </w:r>
    </w:p>
    <w:p w14:paraId="55CF68B4">
      <w:pPr>
        <w:pStyle w:val="4"/>
        <w:spacing w:line="240" w:lineRule="auto"/>
        <w:jc w:val="center"/>
        <w:rPr>
          <w:lang w:val="en-US"/>
        </w:rPr>
      </w:pPr>
      <w:bookmarkStart w:id="1" w:name="_Ref811981590"/>
      <w:r>
        <w:rPr>
          <w:rFonts w:hint="default" w:ascii="Times New Roman Bold" w:hAnsi="Times New Roman Bold" w:cs="Times New Roman Bold"/>
          <w:b/>
          <w:bCs/>
        </w:rPr>
        <w:t xml:space="preserve">Figure </w:t>
      </w:r>
      <w:r>
        <w:rPr>
          <w:rFonts w:hint="default" w:ascii="Times New Roman Bold" w:hAnsi="Times New Roman Bold" w:cs="Times New Roman Bold"/>
          <w:b/>
          <w:bCs/>
        </w:rPr>
        <w:fldChar w:fldCharType="begin"/>
      </w:r>
      <w:r>
        <w:rPr>
          <w:rFonts w:hint="default" w:ascii="Times New Roman Bold" w:hAnsi="Times New Roman Bold" w:cs="Times New Roman Bold"/>
          <w:b/>
          <w:bCs/>
        </w:rPr>
        <w:instrText xml:space="preserve"> SEQ Figure \* ARABIC </w:instrText>
      </w:r>
      <w:r>
        <w:rPr>
          <w:rFonts w:hint="default" w:ascii="Times New Roman Bold" w:hAnsi="Times New Roman Bold" w:cs="Times New Roman Bold"/>
          <w:b/>
          <w:bCs/>
        </w:rPr>
        <w:fldChar w:fldCharType="separate"/>
      </w:r>
      <w:r>
        <w:rPr>
          <w:rFonts w:hint="default" w:ascii="Times New Roman Bold" w:hAnsi="Times New Roman Bold" w:cs="Times New Roman Bold"/>
          <w:b/>
          <w:bCs/>
        </w:rPr>
        <w:t>2</w:t>
      </w:r>
      <w:r>
        <w:rPr>
          <w:rFonts w:hint="default" w:ascii="Times New Roman Bold" w:hAnsi="Times New Roman Bold" w:cs="Times New Roman Bold"/>
          <w:b/>
          <w:bCs/>
        </w:rPr>
        <w:fldChar w:fldCharType="end"/>
      </w:r>
      <w:bookmarkEnd w:id="1"/>
      <w:r>
        <w:rPr>
          <w:lang w:val="en-US"/>
        </w:rPr>
        <w:t xml:space="preserve"> Pareto fronts for fire station number and weighted distance under different existing-station-retention scenarios</w:t>
      </w:r>
    </w:p>
    <w:p w14:paraId="555DDC2D">
      <w:pPr>
        <w:pStyle w:val="4"/>
        <w:spacing w:line="240" w:lineRule="auto"/>
        <w:jc w:val="both"/>
        <w:rPr>
          <w:lang w:val="en-US"/>
        </w:rPr>
      </w:pPr>
    </w:p>
    <w:p w14:paraId="5535770D">
      <w:pPr>
        <w:spacing w:line="240" w:lineRule="auto"/>
        <w:rPr>
          <w:rFonts w:hint="default"/>
          <w:highlight w:val="none"/>
          <w:lang w:val="en-US" w:eastAsia="zh-CN"/>
        </w:rPr>
      </w:pPr>
      <w:r>
        <w:rPr>
          <w:rFonts w:hint="default"/>
          <w:highlight w:val="none"/>
          <w:lang w:val="en-US" w:eastAsia="zh-CN"/>
        </w:rPr>
        <w:t>Given the 3-km service radius adopted in the model, all solutions achieve relatively good accessibility levels. Therefore, the selection was primarily guided by practical considerations of network size. The scenario retaining all four existing fire stations with a total of 10 stations was selected as the preferred solution, as it maximizes the retention of existing stations while minimizing the number of newly required stations. The s</w:t>
      </w:r>
      <w:r>
        <w:rPr>
          <w:rFonts w:hint="eastAsia"/>
          <w:lang w:eastAsia="zh-CN"/>
        </w:rPr>
        <w:t>patial configuration of the selected solution</w:t>
      </w:r>
      <w:r>
        <w:rPr>
          <w:rFonts w:hint="default"/>
          <w:lang w:val="en-US" w:eastAsia="zh-CN"/>
        </w:rPr>
        <w:t xml:space="preserve"> is shown in </w:t>
      </w:r>
      <w:r>
        <w:rPr>
          <w:rFonts w:hint="default"/>
          <w:lang w:val="en-US" w:eastAsia="zh-CN"/>
        </w:rPr>
        <w:fldChar w:fldCharType="begin"/>
      </w:r>
      <w:r>
        <w:rPr>
          <w:rFonts w:hint="default"/>
          <w:lang w:val="en-US" w:eastAsia="zh-CN"/>
        </w:rPr>
        <w:instrText xml:space="preserve"> REF _Ref1121261168 \h </w:instrText>
      </w:r>
      <w:r>
        <w:rPr>
          <w:rFonts w:hint="default"/>
          <w:lang w:val="en-US" w:eastAsia="zh-CN"/>
        </w:rPr>
        <w:fldChar w:fldCharType="separate"/>
      </w:r>
      <w:r>
        <w:rPr>
          <w:rFonts w:hint="default" w:ascii="Times New Roman Bold" w:hAnsi="Times New Roman Bold" w:cs="Times New Roman Bold"/>
          <w:b/>
          <w:bCs/>
        </w:rPr>
        <w:t>Figure 3</w:t>
      </w:r>
      <w:r>
        <w:rPr>
          <w:rFonts w:hint="default"/>
          <w:lang w:val="en-US" w:eastAsia="zh-CN"/>
        </w:rPr>
        <w:fldChar w:fldCharType="end"/>
      </w:r>
      <w:r>
        <w:rPr>
          <w:rFonts w:hint="default" w:ascii="Times New Roman" w:hAnsi="Times New Roman" w:cs="Times New Roman"/>
          <w:b w:val="0"/>
          <w:bCs w:val="0"/>
          <w:lang w:val="en-US" w:eastAsia="zh-CN"/>
        </w:rPr>
        <w:t>.</w:t>
      </w:r>
      <w:r>
        <w:rPr>
          <w:rFonts w:hint="default" w:cs="Times New Roman"/>
          <w:b w:val="0"/>
          <w:bCs w:val="0"/>
          <w:lang w:val="en-US" w:eastAsia="zh-CN"/>
        </w:rPr>
        <w:t xml:space="preserve"> </w:t>
      </w:r>
      <w:r>
        <w:rPr>
          <w:rFonts w:hint="eastAsia" w:cs="Times New Roman"/>
          <w:b w:val="0"/>
          <w:bCs w:val="0"/>
          <w:lang w:val="en-US" w:eastAsia="zh-CN"/>
        </w:rPr>
        <w:t>T</w:t>
      </w:r>
      <w:r>
        <w:rPr>
          <w:rFonts w:hint="default" w:cs="Times New Roman"/>
          <w:b w:val="0"/>
          <w:bCs w:val="0"/>
          <w:lang w:val="en-US" w:eastAsia="zh-CN"/>
        </w:rPr>
        <w:t xml:space="preserve">he four existing fire stations are located mainly along the central axis of the study area, covering the northern, central, and southern parts of the area. Two stations are located in the south, which also exhibits relatively higher fire risk. This spatial pattern suggests that the existing configuration has a certain planning rationale, with the original layout potentially aiming to achieve broad area coverage along the main spatial axis while providing additional protection for higher-risk areas. The six newly added stations identified by the optimization model are distributed on both sides of the central axis, with three located to the east and three to the west. The three newly added stations in the west are recommended for construction, as they address coverage gaps in the peripheral areas of London. In contrast, the three eastern stations </w:t>
      </w:r>
      <w:r>
        <w:rPr>
          <w:rFonts w:hint="eastAsia" w:cs="Times New Roman"/>
          <w:b w:val="0"/>
          <w:bCs w:val="0"/>
          <w:lang w:val="en-US" w:eastAsia="zh-CN"/>
        </w:rPr>
        <w:t>may</w:t>
      </w:r>
      <w:r>
        <w:rPr>
          <w:rFonts w:hint="default" w:cs="Times New Roman"/>
          <w:b w:val="0"/>
          <w:bCs w:val="0"/>
          <w:lang w:val="en-US" w:eastAsia="zh-CN"/>
        </w:rPr>
        <w:t xml:space="preserve"> </w:t>
      </w:r>
      <w:bookmarkStart w:id="3" w:name="_GoBack"/>
      <w:bookmarkEnd w:id="3"/>
      <w:r>
        <w:rPr>
          <w:rFonts w:hint="default" w:cs="Times New Roman"/>
          <w:b w:val="0"/>
          <w:bCs w:val="0"/>
          <w:lang w:val="en-US" w:eastAsia="zh-CN"/>
        </w:rPr>
        <w:t xml:space="preserve">require further assessment and potential adjustment, as the model excludes stations in neighboring boroughs that may already provide </w:t>
      </w:r>
      <w:r>
        <w:rPr>
          <w:rFonts w:hint="eastAsia" w:cs="Times New Roman"/>
          <w:b w:val="0"/>
          <w:bCs w:val="0"/>
          <w:lang w:val="en-US" w:eastAsia="zh-CN"/>
        </w:rPr>
        <w:t>some</w:t>
      </w:r>
      <w:r>
        <w:rPr>
          <w:rFonts w:hint="default" w:cs="Times New Roman"/>
          <w:b w:val="0"/>
          <w:bCs w:val="0"/>
          <w:lang w:val="en-US" w:eastAsia="zh-CN"/>
        </w:rPr>
        <w:t xml:space="preserve"> coverage to the eastern part of the study area (</w:t>
      </w:r>
      <w:r>
        <w:rPr>
          <w:rFonts w:hint="default" w:cs="Times New Roman"/>
          <w:b w:val="0"/>
          <w:bCs w:val="0"/>
          <w:lang w:val="en-US" w:eastAsia="zh-CN"/>
        </w:rPr>
        <w:fldChar w:fldCharType="begin"/>
      </w:r>
      <w:r>
        <w:rPr>
          <w:rFonts w:hint="default" w:cs="Times New Roman"/>
          <w:b w:val="0"/>
          <w:bCs w:val="0"/>
          <w:lang w:val="en-US" w:eastAsia="zh-CN"/>
        </w:rPr>
        <w:instrText xml:space="preserve"> REF _Ref766249743 \h </w:instrText>
      </w:r>
      <w:r>
        <w:rPr>
          <w:rFonts w:hint="default" w:cs="Times New Roman"/>
          <w:b w:val="0"/>
          <w:bCs w:val="0"/>
          <w:lang w:val="en-US" w:eastAsia="zh-CN"/>
        </w:rPr>
        <w:fldChar w:fldCharType="separate"/>
      </w:r>
      <w:r>
        <w:rPr>
          <w:rFonts w:hint="default" w:ascii="Times New Roman Bold" w:hAnsi="Times New Roman Bold" w:cs="Times New Roman Bold"/>
          <w:b/>
          <w:bCs/>
        </w:rPr>
        <w:t>Figure 1</w:t>
      </w:r>
      <w:r>
        <w:rPr>
          <w:rFonts w:hint="default" w:cs="Times New Roman"/>
          <w:b w:val="0"/>
          <w:bCs w:val="0"/>
          <w:lang w:val="en-US" w:eastAsia="zh-CN"/>
        </w:rPr>
        <w:fldChar w:fldCharType="end"/>
      </w:r>
      <w:r>
        <w:rPr>
          <w:rFonts w:hint="default" w:cs="Times New Roman"/>
          <w:b w:val="0"/>
          <w:bCs w:val="0"/>
          <w:lang w:val="en-US" w:eastAsia="zh-CN"/>
        </w:rPr>
        <w:t xml:space="preserve">). </w:t>
      </w:r>
    </w:p>
    <w:p w14:paraId="07681EF9">
      <w:pPr>
        <w:pStyle w:val="4"/>
        <w:spacing w:line="240" w:lineRule="auto"/>
        <w:jc w:val="both"/>
        <w:rPr>
          <w:lang w:val="en-US"/>
        </w:rPr>
      </w:pPr>
    </w:p>
    <w:p w14:paraId="0B40886D">
      <w:pPr>
        <w:pStyle w:val="4"/>
        <w:spacing w:line="240" w:lineRule="auto"/>
        <w:jc w:val="both"/>
        <w:rPr>
          <w:rFonts w:hint="default"/>
          <w:lang w:val="en-US" w:eastAsia="zh-CN"/>
        </w:rPr>
      </w:pPr>
      <w:r>
        <w:rPr>
          <w:rFonts w:hint="default"/>
          <w:lang w:val="en-US" w:eastAsia="zh-CN"/>
        </w:rPr>
        <w:drawing>
          <wp:inline distT="0" distB="0" distL="114300" distR="114300">
            <wp:extent cx="5754370" cy="4794885"/>
            <wp:effectExtent l="0" t="0" r="11430" b="5715"/>
            <wp:docPr id="8" name="图片 8" descr="/Users/yezhen/Desktop/项目/空间优化/figure/selected_stations.pngselected_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sers/yezhen/Desktop/项目/空间优化/figure/selected_stations.pngselected_stations"/>
                    <pic:cNvPicPr>
                      <a:picLocks noChangeAspect="1"/>
                    </pic:cNvPicPr>
                  </pic:nvPicPr>
                  <pic:blipFill>
                    <a:blip r:embed="rId12"/>
                    <a:srcRect t="6" b="6"/>
                    <a:stretch>
                      <a:fillRect/>
                    </a:stretch>
                  </pic:blipFill>
                  <pic:spPr>
                    <a:xfrm>
                      <a:off x="0" y="0"/>
                      <a:ext cx="5754370" cy="4794885"/>
                    </a:xfrm>
                    <a:prstGeom prst="rect">
                      <a:avLst/>
                    </a:prstGeom>
                  </pic:spPr>
                </pic:pic>
              </a:graphicData>
            </a:graphic>
          </wp:inline>
        </w:drawing>
      </w:r>
    </w:p>
    <w:p w14:paraId="13FA652E">
      <w:pPr>
        <w:pStyle w:val="4"/>
        <w:spacing w:line="240" w:lineRule="auto"/>
        <w:jc w:val="center"/>
        <w:rPr>
          <w:rFonts w:hint="eastAsia" w:eastAsiaTheme="minorEastAsia"/>
          <w:lang w:val="en-US" w:eastAsia="zh-CN"/>
        </w:rPr>
      </w:pPr>
      <w:bookmarkStart w:id="2" w:name="_Ref1121261168"/>
      <w:r>
        <w:rPr>
          <w:rFonts w:hint="default" w:ascii="Times New Roman Bold" w:hAnsi="Times New Roman Bold" w:cs="Times New Roman Bold"/>
          <w:b/>
          <w:bCs/>
        </w:rPr>
        <w:t xml:space="preserve">Figure </w:t>
      </w:r>
      <w:r>
        <w:rPr>
          <w:rFonts w:hint="default" w:ascii="Times New Roman Bold" w:hAnsi="Times New Roman Bold" w:cs="Times New Roman Bold"/>
          <w:b/>
          <w:bCs/>
        </w:rPr>
        <w:fldChar w:fldCharType="begin"/>
      </w:r>
      <w:r>
        <w:rPr>
          <w:rFonts w:hint="default" w:ascii="Times New Roman Bold" w:hAnsi="Times New Roman Bold" w:cs="Times New Roman Bold"/>
          <w:b/>
          <w:bCs/>
        </w:rPr>
        <w:instrText xml:space="preserve"> SEQ Figure \* ARABIC </w:instrText>
      </w:r>
      <w:r>
        <w:rPr>
          <w:rFonts w:hint="default" w:ascii="Times New Roman Bold" w:hAnsi="Times New Roman Bold" w:cs="Times New Roman Bold"/>
          <w:b/>
          <w:bCs/>
        </w:rPr>
        <w:fldChar w:fldCharType="separate"/>
      </w:r>
      <w:r>
        <w:rPr>
          <w:rFonts w:hint="default" w:ascii="Times New Roman Bold" w:hAnsi="Times New Roman Bold" w:cs="Times New Roman Bold"/>
          <w:b/>
          <w:bCs/>
        </w:rPr>
        <w:t>3</w:t>
      </w:r>
      <w:r>
        <w:rPr>
          <w:rFonts w:hint="default" w:ascii="Times New Roman Bold" w:hAnsi="Times New Roman Bold" w:cs="Times New Roman Bold"/>
          <w:b/>
          <w:bCs/>
        </w:rPr>
        <w:fldChar w:fldCharType="end"/>
      </w:r>
      <w:bookmarkEnd w:id="2"/>
      <w:r>
        <w:rPr>
          <w:rFonts w:hint="eastAsia"/>
          <w:lang w:eastAsia="zh-CN"/>
        </w:rPr>
        <w:t xml:space="preserve"> Spatial configuration of the selected solution</w:t>
      </w:r>
    </w:p>
    <w:p w14:paraId="184B0FD2">
      <w:pPr>
        <w:spacing w:line="240" w:lineRule="auto"/>
        <w:rPr>
          <w:highlight w:val="yellow"/>
          <w:lang w:val="en-US" w:eastAsia="zh-CN"/>
        </w:rPr>
      </w:pPr>
    </w:p>
    <w:p w14:paraId="3BAF7AFB">
      <w:pPr>
        <w:spacing w:line="240" w:lineRule="auto"/>
        <w:rPr>
          <w:highlight w:val="yellow"/>
          <w:lang w:val="en-US" w:eastAsia="zh-CN"/>
        </w:rPr>
      </w:pPr>
    </w:p>
    <w:p w14:paraId="101F3B02">
      <w:pPr>
        <w:pStyle w:val="2"/>
        <w:bidi w:val="0"/>
        <w:spacing w:line="240" w:lineRule="auto"/>
        <w:rPr>
          <w:highlight w:val="none"/>
        </w:rPr>
      </w:pPr>
      <w:r>
        <w:rPr>
          <w:rFonts w:hint="default"/>
          <w:highlight w:val="none"/>
          <w:lang w:val="en-US"/>
        </w:rPr>
        <w:t xml:space="preserve">Discussion and </w:t>
      </w:r>
      <w:r>
        <w:rPr>
          <w:highlight w:val="none"/>
          <w:lang w:val="en-US"/>
        </w:rPr>
        <w:t>Conclusion</w:t>
      </w:r>
    </w:p>
    <w:p w14:paraId="7432B771">
      <w:pPr>
        <w:spacing w:line="240" w:lineRule="auto"/>
        <w:rPr>
          <w:highlight w:val="yellow"/>
          <w:lang w:val="en-US" w:eastAsia="zh-CN"/>
        </w:rPr>
      </w:pPr>
    </w:p>
    <w:p w14:paraId="526FFC0E">
      <w:pPr>
        <w:spacing w:line="240" w:lineRule="auto"/>
        <w:rPr>
          <w:rFonts w:hint="default"/>
          <w:highlight w:val="none"/>
          <w:lang w:val="en-US" w:eastAsia="zh-CN"/>
        </w:rPr>
      </w:pPr>
      <w:r>
        <w:rPr>
          <w:rFonts w:hint="default"/>
          <w:highlight w:val="none"/>
          <w:lang w:val="en-US" w:eastAsia="zh-CN"/>
        </w:rPr>
        <w:t>T</w:t>
      </w:r>
      <w:r>
        <w:rPr>
          <w:rFonts w:hint="eastAsia"/>
          <w:highlight w:val="none"/>
          <w:lang w:val="en-US" w:eastAsia="zh-CN"/>
        </w:rPr>
        <w:t>his study applies a bi-objective optimization model that balances service coverage and accessibility to identify the optimal locations for fire stations in the London Borough of Hillingdon, while accounting for existing stations. After evaluating all scenarios with different numbers of existing stations retained, we recommend retaining all four existing stations and adding three new stations in the west, while further reviewing the number and locations of the three proposed eastern stations in light of fire station coverage in neighboring boroughs. This recommendation addresses existing coverage gaps, strengthens emergency response capacity in high-risk areas, and improves resource efficiency by avoiding redundant station construction.</w:t>
      </w:r>
    </w:p>
    <w:p w14:paraId="2FCF7757">
      <w:pPr>
        <w:spacing w:line="240" w:lineRule="auto"/>
        <w:rPr>
          <w:rFonts w:hint="eastAsia"/>
          <w:highlight w:val="yellow"/>
          <w:lang w:val="en-US" w:eastAsia="zh-CN"/>
        </w:rPr>
      </w:pPr>
    </w:p>
    <w:p w14:paraId="591A7C05">
      <w:pPr>
        <w:spacing w:line="240" w:lineRule="auto"/>
        <w:rPr>
          <w:rFonts w:hint="eastAsia"/>
          <w:highlight w:val="none"/>
          <w:lang w:val="en-US" w:eastAsia="zh-CN"/>
        </w:rPr>
      </w:pPr>
      <w:r>
        <w:rPr>
          <w:rFonts w:hint="eastAsia"/>
          <w:highlight w:val="none"/>
          <w:lang w:val="en-US" w:eastAsia="zh-CN"/>
        </w:rPr>
        <w:t>In terms of policy implications, these results highlight the need to address coverage gaps in peripheral areas, which remain underserved by the existing fire station network across London. Fire station planning should also consider the wider urban network rather than individual administrative boundaries to avoid redundant construction and maximize the use of existing infrastructure. This also represents a limitation of the current study, which only considers fire stations within the London Borough of Hillingdon.</w:t>
      </w:r>
    </w:p>
    <w:p w14:paraId="141C9075">
      <w:pPr>
        <w:spacing w:line="240" w:lineRule="auto"/>
        <w:rPr>
          <w:rFonts w:hint="eastAsia"/>
          <w:highlight w:val="yellow"/>
          <w:lang w:val="en-US" w:eastAsia="zh-CN"/>
        </w:rPr>
      </w:pPr>
    </w:p>
    <w:p w14:paraId="04AF354D">
      <w:pPr>
        <w:spacing w:line="240" w:lineRule="auto"/>
        <w:rPr>
          <w:highlight w:val="yellow"/>
          <w:lang w:val="en-US" w:eastAsia="zh-CN"/>
        </w:rPr>
      </w:pPr>
      <w:r>
        <w:rPr>
          <w:rFonts w:hint="eastAsia"/>
          <w:highlight w:val="none"/>
          <w:lang w:val="en-US" w:eastAsia="zh-CN"/>
        </w:rPr>
        <w:t>Several other limitations should also be acknowledged. First, the optimization model considers only service coverage and accessibility, while other factors, such as station workload, could be incorporated to ensure a more balanced allocation of service demand. Second, candidate locations are represented by MSOA centroids, without considering practical site suitability, water availability, or construction costs. Finally, road network distance or travel time could be used instead of Euclidean distance to provide more realistic measurements.</w:t>
      </w:r>
    </w:p>
    <w:p w14:paraId="0A98D7FE">
      <w:pPr>
        <w:spacing w:line="240" w:lineRule="auto"/>
        <w:rPr>
          <w:highlight w:val="yellow"/>
        </w:rPr>
      </w:pPr>
    </w:p>
    <w:p w14:paraId="1E25AD11">
      <w:pPr>
        <w:widowControl/>
        <w:suppressAutoHyphens w:val="0"/>
        <w:spacing w:line="240" w:lineRule="auto"/>
        <w:jc w:val="left"/>
        <w:rPr>
          <w:b/>
          <w:bCs/>
        </w:rPr>
      </w:pPr>
      <w:r>
        <w:br w:type="page"/>
      </w:r>
    </w:p>
    <w:p w14:paraId="096D5053">
      <w:pPr>
        <w:pStyle w:val="2"/>
        <w:numPr>
          <w:ilvl w:val="0"/>
          <w:numId w:val="0"/>
        </w:numPr>
        <w:bidi w:val="0"/>
        <w:spacing w:line="240" w:lineRule="auto"/>
        <w:ind w:leftChars="0"/>
      </w:pPr>
      <w:r>
        <w:t>References</w:t>
      </w:r>
    </w:p>
    <w:p w14:paraId="096D5054">
      <w:pPr>
        <w:spacing w:line="240" w:lineRule="auto"/>
        <w:ind w:left="284" w:hanging="284"/>
      </w:pPr>
    </w:p>
    <w:p w14:paraId="456CC34E">
      <w:pPr>
        <w:pStyle w:val="40"/>
        <w:bidi w:val="0"/>
        <w:spacing w:line="240" w:lineRule="auto"/>
        <w:jc w:val="both"/>
        <w:rPr>
          <w:rFonts w:ascii="Times New Roman" w:hAnsi="Times New Roman" w:eastAsia="宋体"/>
        </w:rPr>
      </w:pPr>
      <w:r>
        <w:rPr>
          <w:rFonts w:eastAsia="ArialMT"/>
        </w:rPr>
        <w:fldChar w:fldCharType="begin"/>
      </w:r>
      <w:r>
        <w:rPr>
          <w:rFonts w:hint="default" w:eastAsia="宋体"/>
          <w:lang w:val="en-US" w:eastAsia="zh-CN"/>
        </w:rPr>
        <w:instrText xml:space="preserve"> ADDIN ZOTERO_BIBL {"uncited":[],"omitted":[],"custom":[]} CSL_BIBLIOGRAPHY </w:instrText>
      </w:r>
      <w:r>
        <w:rPr>
          <w:rFonts w:eastAsia="ArialMT"/>
        </w:rPr>
        <w:fldChar w:fldCharType="separate"/>
      </w:r>
      <w:r>
        <w:rPr>
          <w:rFonts w:ascii="Times New Roman" w:hAnsi="Times New Roman" w:eastAsia="宋体" w:cs="宋体"/>
          <w:kern w:val="0"/>
          <w:szCs w:val="24"/>
          <w:lang w:val="en-US" w:eastAsia="zh-CN" w:bidi="ar"/>
        </w:rPr>
        <w:t xml:space="preserve">Church, R., Current, J. and Storbeck, J. (1991) “A Bicriterion Maximal Covering Location Formulation Which Considers the Satisfaction of Uncovered Demand,” </w:t>
      </w:r>
      <w:r>
        <w:rPr>
          <w:rFonts w:ascii="Times New Roman" w:hAnsi="Times New Roman" w:eastAsia="宋体" w:cs="宋体"/>
          <w:i/>
          <w:iCs/>
          <w:kern w:val="0"/>
          <w:szCs w:val="24"/>
          <w:lang w:val="en-US" w:eastAsia="zh-CN" w:bidi="ar"/>
        </w:rPr>
        <w:t>Decision Sciences</w:t>
      </w:r>
      <w:r>
        <w:rPr>
          <w:rFonts w:ascii="Times New Roman" w:hAnsi="Times New Roman" w:eastAsia="宋体" w:cs="宋体"/>
          <w:kern w:val="0"/>
          <w:szCs w:val="24"/>
          <w:lang w:val="en-US" w:eastAsia="zh-CN" w:bidi="ar"/>
        </w:rPr>
        <w:t>, 22(1), pp. 38–52. Available at: https://doi.org/10.1111/j.1540-5915.1991.tb01260.x.</w:t>
      </w:r>
    </w:p>
    <w:p w14:paraId="4BF80925">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Church, R. and Velle, C.R. (1974) “The Maximal Covering Location Problem,” </w:t>
      </w:r>
      <w:r>
        <w:rPr>
          <w:rFonts w:ascii="Times New Roman" w:hAnsi="Times New Roman" w:eastAsia="宋体" w:cs="宋体"/>
          <w:i/>
          <w:iCs/>
          <w:kern w:val="0"/>
          <w:szCs w:val="24"/>
          <w:lang w:val="en-US" w:eastAsia="zh-CN" w:bidi="ar"/>
        </w:rPr>
        <w:t>Papers in Regional Science</w:t>
      </w:r>
      <w:r>
        <w:rPr>
          <w:rFonts w:ascii="Times New Roman" w:hAnsi="Times New Roman" w:eastAsia="宋体" w:cs="宋体"/>
          <w:kern w:val="0"/>
          <w:szCs w:val="24"/>
          <w:lang w:val="en-US" w:eastAsia="zh-CN" w:bidi="ar"/>
        </w:rPr>
        <w:t>, 32(1), pp. 101–118. Available at: https://doi.org/10.1111/j.1435-5597.1974.tb00902.x.</w:t>
      </w:r>
    </w:p>
    <w:p w14:paraId="73E5C1A3">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Church, R.L. and Li, W. (2016) “Estimating spatial efficiency using cyber search, GIS, and spatial optimization: a case study of fire service deployment in Los Angeles County,” </w:t>
      </w:r>
      <w:r>
        <w:rPr>
          <w:rFonts w:ascii="Times New Roman" w:hAnsi="Times New Roman" w:eastAsia="宋体" w:cs="宋体"/>
          <w:i/>
          <w:iCs/>
          <w:kern w:val="0"/>
          <w:szCs w:val="24"/>
          <w:lang w:val="en-US" w:eastAsia="zh-CN" w:bidi="ar"/>
        </w:rPr>
        <w:t>International Journal of Geographical Information Science</w:t>
      </w:r>
      <w:r>
        <w:rPr>
          <w:rFonts w:ascii="Times New Roman" w:hAnsi="Times New Roman" w:eastAsia="宋体" w:cs="宋体"/>
          <w:kern w:val="0"/>
          <w:szCs w:val="24"/>
          <w:lang w:val="en-US" w:eastAsia="zh-CN" w:bidi="ar"/>
        </w:rPr>
        <w:t>, 30(3), pp. 535–553. Available at: https://doi.org/10.1080/13658816.2015.1083572.</w:t>
      </w:r>
    </w:p>
    <w:p w14:paraId="16540567">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Coello, C. </w:t>
      </w:r>
      <w:r>
        <w:rPr>
          <w:rFonts w:ascii="Times New Roman" w:hAnsi="Times New Roman" w:eastAsia="宋体" w:cs="宋体"/>
          <w:i/>
          <w:iCs/>
          <w:kern w:val="0"/>
          <w:szCs w:val="24"/>
          <w:lang w:val="en-US" w:eastAsia="zh-CN" w:bidi="ar"/>
        </w:rPr>
        <w:t>et al.</w:t>
      </w:r>
      <w:r>
        <w:rPr>
          <w:rFonts w:ascii="Times New Roman" w:hAnsi="Times New Roman" w:eastAsia="宋体" w:cs="宋体"/>
          <w:kern w:val="0"/>
          <w:szCs w:val="24"/>
          <w:lang w:val="en-US" w:eastAsia="zh-CN" w:bidi="ar"/>
        </w:rPr>
        <w:t xml:space="preserve"> (eds.) (2023) </w:t>
      </w:r>
      <w:r>
        <w:rPr>
          <w:rFonts w:ascii="Times New Roman" w:hAnsi="Times New Roman" w:eastAsia="宋体" w:cs="宋体"/>
          <w:i/>
          <w:iCs/>
          <w:kern w:val="0"/>
          <w:szCs w:val="24"/>
          <w:lang w:val="en-US" w:eastAsia="zh-CN" w:bidi="ar"/>
        </w:rPr>
        <w:t>Evolutionary Multi-objective Optimization: An Honorary Issue Dedicated to Professor Kalyanmoy Deb</w:t>
      </w:r>
      <w:r>
        <w:rPr>
          <w:rFonts w:ascii="Times New Roman" w:hAnsi="Times New Roman" w:eastAsia="宋体" w:cs="宋体"/>
          <w:kern w:val="0"/>
          <w:szCs w:val="24"/>
          <w:lang w:val="en-US" w:eastAsia="zh-CN" w:bidi="ar"/>
        </w:rPr>
        <w:t>. MDPI. Available at: https://doi.org/10.3390/books978-3-0365-6981-9.</w:t>
      </w:r>
    </w:p>
    <w:p w14:paraId="5E80C18F">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Hakimi, S.L. (1964) “Optimum Locations of Switching Centers and the Absolute Centers and Medians of a Graph,” </w:t>
      </w:r>
      <w:r>
        <w:rPr>
          <w:rFonts w:ascii="Times New Roman" w:hAnsi="Times New Roman" w:eastAsia="宋体" w:cs="宋体"/>
          <w:i/>
          <w:iCs/>
          <w:kern w:val="0"/>
          <w:szCs w:val="24"/>
          <w:lang w:val="en-US" w:eastAsia="zh-CN" w:bidi="ar"/>
        </w:rPr>
        <w:t>Operations Research</w:t>
      </w:r>
      <w:r>
        <w:rPr>
          <w:rFonts w:ascii="Times New Roman" w:hAnsi="Times New Roman" w:eastAsia="宋体" w:cs="宋体"/>
          <w:kern w:val="0"/>
          <w:szCs w:val="24"/>
          <w:lang w:val="en-US" w:eastAsia="zh-CN" w:bidi="ar"/>
        </w:rPr>
        <w:t>, 12(3), pp. 450–459. Available at: https://doi.org/10.1287/opre.12.3.450.</w:t>
      </w:r>
    </w:p>
    <w:p w14:paraId="0935AB81">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He, Q. </w:t>
      </w:r>
      <w:r>
        <w:rPr>
          <w:rFonts w:ascii="Times New Roman" w:hAnsi="Times New Roman" w:eastAsia="宋体" w:cs="宋体"/>
          <w:i/>
          <w:iCs/>
          <w:kern w:val="0"/>
          <w:szCs w:val="24"/>
          <w:lang w:val="en-US" w:eastAsia="zh-CN" w:bidi="ar"/>
        </w:rPr>
        <w:t>et al.</w:t>
      </w:r>
      <w:r>
        <w:rPr>
          <w:rFonts w:ascii="Times New Roman" w:hAnsi="Times New Roman" w:eastAsia="宋体" w:cs="宋体"/>
          <w:kern w:val="0"/>
          <w:szCs w:val="24"/>
          <w:lang w:val="en-US" w:eastAsia="zh-CN" w:bidi="ar"/>
        </w:rPr>
        <w:t xml:space="preserve"> (2024) “Research on Chinese Fire Station Optimal Location Model Based on Fire Risk Statistics: Case Study in Shanghai,” </w:t>
      </w:r>
      <w:r>
        <w:rPr>
          <w:rFonts w:ascii="Times New Roman" w:hAnsi="Times New Roman" w:eastAsia="宋体" w:cs="宋体"/>
          <w:i/>
          <w:iCs/>
          <w:kern w:val="0"/>
          <w:szCs w:val="24"/>
          <w:lang w:val="en-US" w:eastAsia="zh-CN" w:bidi="ar"/>
        </w:rPr>
        <w:t>Applied Sciences</w:t>
      </w:r>
      <w:r>
        <w:rPr>
          <w:rFonts w:ascii="Times New Roman" w:hAnsi="Times New Roman" w:eastAsia="宋体" w:cs="宋体"/>
          <w:kern w:val="0"/>
          <w:szCs w:val="24"/>
          <w:lang w:val="en-US" w:eastAsia="zh-CN" w:bidi="ar"/>
        </w:rPr>
        <w:t>, 14(5), p. 2052. Available at: https://doi.org/10.3390/app14052052.</w:t>
      </w:r>
    </w:p>
    <w:p w14:paraId="0CF5F460">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Kodur, V., Kumar, P. and Rafi, M.M. (2019) “Fire hazard in buildings: review, assessment and strategies for improving fire safety,” </w:t>
      </w:r>
      <w:r>
        <w:rPr>
          <w:rFonts w:ascii="Times New Roman" w:hAnsi="Times New Roman" w:eastAsia="宋体" w:cs="宋体"/>
          <w:i/>
          <w:iCs/>
          <w:kern w:val="0"/>
          <w:szCs w:val="24"/>
          <w:lang w:val="en-US" w:eastAsia="zh-CN" w:bidi="ar"/>
        </w:rPr>
        <w:t>PSU Research Review</w:t>
      </w:r>
      <w:r>
        <w:rPr>
          <w:rFonts w:ascii="Times New Roman" w:hAnsi="Times New Roman" w:eastAsia="宋体" w:cs="宋体"/>
          <w:kern w:val="0"/>
          <w:szCs w:val="24"/>
          <w:lang w:val="en-US" w:eastAsia="zh-CN" w:bidi="ar"/>
        </w:rPr>
        <w:t>, 4(1), pp. 1–23. Available at: https://doi.org/10.1108/PRR-12-2018-0033.</w:t>
      </w:r>
    </w:p>
    <w:p w14:paraId="22F9AB16">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London Fire Brigade (2008) </w:t>
      </w:r>
      <w:r>
        <w:rPr>
          <w:rFonts w:ascii="Times New Roman" w:hAnsi="Times New Roman" w:eastAsia="宋体" w:cs="宋体"/>
          <w:i/>
          <w:iCs/>
          <w:kern w:val="0"/>
          <w:szCs w:val="24"/>
          <w:lang w:val="en-US" w:eastAsia="zh-CN" w:bidi="ar"/>
        </w:rPr>
        <w:t>Third London Safety Plan</w:t>
      </w:r>
      <w:r>
        <w:rPr>
          <w:rFonts w:ascii="Times New Roman" w:hAnsi="Times New Roman" w:eastAsia="宋体" w:cs="宋体"/>
          <w:kern w:val="0"/>
          <w:szCs w:val="24"/>
          <w:lang w:val="en-US" w:eastAsia="zh-CN" w:bidi="ar"/>
        </w:rPr>
        <w:t>. Available at: https://www.london-fire.gov.uk/media/4847/third_london_safety_plan_2008-2011-1.pdf.</w:t>
      </w:r>
    </w:p>
    <w:p w14:paraId="5894703E">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Schilling, D.A. </w:t>
      </w:r>
      <w:r>
        <w:rPr>
          <w:rFonts w:ascii="Times New Roman" w:hAnsi="Times New Roman" w:eastAsia="宋体" w:cs="宋体"/>
          <w:i/>
          <w:iCs/>
          <w:kern w:val="0"/>
          <w:szCs w:val="24"/>
          <w:lang w:val="en-US" w:eastAsia="zh-CN" w:bidi="ar"/>
        </w:rPr>
        <w:t>et al.</w:t>
      </w:r>
      <w:r>
        <w:rPr>
          <w:rFonts w:ascii="Times New Roman" w:hAnsi="Times New Roman" w:eastAsia="宋体" w:cs="宋体"/>
          <w:kern w:val="0"/>
          <w:szCs w:val="24"/>
          <w:lang w:val="en-US" w:eastAsia="zh-CN" w:bidi="ar"/>
        </w:rPr>
        <w:t xml:space="preserve"> (1980) “Some models for fire protection locational decisions,” </w:t>
      </w:r>
      <w:r>
        <w:rPr>
          <w:rFonts w:ascii="Times New Roman" w:hAnsi="Times New Roman" w:eastAsia="宋体" w:cs="宋体"/>
          <w:i/>
          <w:iCs/>
          <w:kern w:val="0"/>
          <w:szCs w:val="24"/>
          <w:lang w:val="en-US" w:eastAsia="zh-CN" w:bidi="ar"/>
        </w:rPr>
        <w:t>European Journal of Operational Research</w:t>
      </w:r>
      <w:r>
        <w:rPr>
          <w:rFonts w:ascii="Times New Roman" w:hAnsi="Times New Roman" w:eastAsia="宋体" w:cs="宋体"/>
          <w:kern w:val="0"/>
          <w:szCs w:val="24"/>
          <w:lang w:val="en-US" w:eastAsia="zh-CN" w:bidi="ar"/>
        </w:rPr>
        <w:t>, 5(1), pp. 1–7. Available at: https://doi.org/10.1016/0377-2217(80)90067-3.</w:t>
      </w:r>
    </w:p>
    <w:p w14:paraId="7D74ADA0">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Toregas, C. </w:t>
      </w:r>
      <w:r>
        <w:rPr>
          <w:rFonts w:ascii="Times New Roman" w:hAnsi="Times New Roman" w:eastAsia="宋体" w:cs="宋体"/>
          <w:i/>
          <w:iCs/>
          <w:kern w:val="0"/>
          <w:szCs w:val="24"/>
          <w:lang w:val="en-US" w:eastAsia="zh-CN" w:bidi="ar"/>
        </w:rPr>
        <w:t>et al.</w:t>
      </w:r>
      <w:r>
        <w:rPr>
          <w:rFonts w:ascii="Times New Roman" w:hAnsi="Times New Roman" w:eastAsia="宋体" w:cs="宋体"/>
          <w:kern w:val="0"/>
          <w:szCs w:val="24"/>
          <w:lang w:val="en-US" w:eastAsia="zh-CN" w:bidi="ar"/>
        </w:rPr>
        <w:t xml:space="preserve"> (1971) “The Location of Emergency Service Facilities,” </w:t>
      </w:r>
      <w:r>
        <w:rPr>
          <w:rFonts w:ascii="Times New Roman" w:hAnsi="Times New Roman" w:eastAsia="宋体" w:cs="宋体"/>
          <w:i/>
          <w:iCs/>
          <w:kern w:val="0"/>
          <w:szCs w:val="24"/>
          <w:lang w:val="en-US" w:eastAsia="zh-CN" w:bidi="ar"/>
        </w:rPr>
        <w:t>Operations Research</w:t>
      </w:r>
      <w:r>
        <w:rPr>
          <w:rFonts w:ascii="Times New Roman" w:hAnsi="Times New Roman" w:eastAsia="宋体" w:cs="宋体"/>
          <w:kern w:val="0"/>
          <w:szCs w:val="24"/>
          <w:lang w:val="en-US" w:eastAsia="zh-CN" w:bidi="ar"/>
        </w:rPr>
        <w:t>, 19(6), pp. 1363–1373. Available at: https://doi.org/10.1287/opre.19.6.1363.</w:t>
      </w:r>
    </w:p>
    <w:p w14:paraId="7871187B">
      <w:pPr>
        <w:pStyle w:val="40"/>
        <w:bidi w:val="0"/>
        <w:spacing w:line="240" w:lineRule="auto"/>
        <w:jc w:val="both"/>
        <w:rPr>
          <w:rFonts w:ascii="Times New Roman" w:hAnsi="Times New Roman" w:eastAsia="宋体"/>
        </w:rPr>
      </w:pPr>
      <w:r>
        <w:rPr>
          <w:rFonts w:ascii="Times New Roman" w:hAnsi="Times New Roman" w:eastAsia="宋体" w:cs="宋体"/>
          <w:kern w:val="0"/>
          <w:szCs w:val="24"/>
          <w:lang w:val="en-US" w:eastAsia="zh-CN" w:bidi="ar"/>
        </w:rPr>
        <w:t xml:space="preserve">Xi, M. </w:t>
      </w:r>
      <w:r>
        <w:rPr>
          <w:rFonts w:ascii="Times New Roman" w:hAnsi="Times New Roman" w:eastAsia="宋体" w:cs="宋体"/>
          <w:i/>
          <w:iCs/>
          <w:kern w:val="0"/>
          <w:szCs w:val="24"/>
          <w:lang w:val="en-US" w:eastAsia="zh-CN" w:bidi="ar"/>
        </w:rPr>
        <w:t>et al.</w:t>
      </w:r>
      <w:r>
        <w:rPr>
          <w:rFonts w:ascii="Times New Roman" w:hAnsi="Times New Roman" w:eastAsia="宋体" w:cs="宋体"/>
          <w:kern w:val="0"/>
          <w:szCs w:val="24"/>
          <w:lang w:val="en-US" w:eastAsia="zh-CN" w:bidi="ar"/>
        </w:rPr>
        <w:t xml:space="preserve"> (2013) “A Modified p-Median Model for the Emergency Facilities Location Problem and Its Variable Neighbourhood Search-Based Algorithm,” </w:t>
      </w:r>
      <w:r>
        <w:rPr>
          <w:rFonts w:ascii="Times New Roman" w:hAnsi="Times New Roman" w:eastAsia="宋体" w:cs="宋体"/>
          <w:i/>
          <w:iCs/>
          <w:kern w:val="0"/>
          <w:szCs w:val="24"/>
          <w:lang w:val="en-US" w:eastAsia="zh-CN" w:bidi="ar"/>
        </w:rPr>
        <w:t>Journal of Applied Mathematics</w:t>
      </w:r>
      <w:r>
        <w:rPr>
          <w:rFonts w:ascii="Times New Roman" w:hAnsi="Times New Roman" w:eastAsia="宋体" w:cs="宋体"/>
          <w:kern w:val="0"/>
          <w:szCs w:val="24"/>
          <w:lang w:val="en-US" w:eastAsia="zh-CN" w:bidi="ar"/>
        </w:rPr>
        <w:t>, 2013(none), pp. 1–10. Available at: https://doi.org/10.1155/2013/375657.</w:t>
      </w:r>
    </w:p>
    <w:p w14:paraId="059E09CD">
      <w:pPr>
        <w:pStyle w:val="40"/>
        <w:bidi w:val="0"/>
        <w:spacing w:line="240" w:lineRule="auto"/>
        <w:jc w:val="both"/>
      </w:pPr>
      <w:r>
        <w:rPr>
          <w:rFonts w:ascii="Times New Roman" w:hAnsi="Times New Roman" w:eastAsia="宋体" w:cs="宋体"/>
          <w:kern w:val="0"/>
          <w:szCs w:val="24"/>
          <w:lang w:val="en-US" w:eastAsia="zh-CN" w:bidi="ar"/>
        </w:rPr>
        <w:t xml:space="preserve">Yao, J., Zhang, X. and Murray, A.T. (2019) “Location optimization of urban fire stations: Access and service coverage,” </w:t>
      </w:r>
      <w:r>
        <w:rPr>
          <w:rFonts w:ascii="Times New Roman" w:hAnsi="Times New Roman" w:eastAsia="宋体" w:cs="宋体"/>
          <w:i/>
          <w:iCs/>
          <w:kern w:val="0"/>
          <w:szCs w:val="24"/>
          <w:lang w:val="en-US" w:eastAsia="zh-CN" w:bidi="ar"/>
        </w:rPr>
        <w:t>Computers, Environment and Urban Systems</w:t>
      </w:r>
      <w:r>
        <w:rPr>
          <w:rFonts w:ascii="Times New Roman" w:hAnsi="Times New Roman" w:eastAsia="宋体" w:cs="宋体"/>
          <w:kern w:val="0"/>
          <w:szCs w:val="24"/>
          <w:lang w:val="en-US" w:eastAsia="zh-CN" w:bidi="ar"/>
        </w:rPr>
        <w:t>, 73, pp. 184–190. Available at: https://doi.org/10.1016/j.compenvurbsys.2018.10.006.</w:t>
      </w:r>
    </w:p>
    <w:p w14:paraId="096D5058">
      <w:pPr>
        <w:pStyle w:val="39"/>
        <w:spacing w:line="240" w:lineRule="auto"/>
        <w:rPr>
          <w:rFonts w:eastAsia="ArialMT"/>
        </w:rPr>
      </w:pPr>
      <w:r>
        <w:rPr>
          <w:rFonts w:eastAsia="ArialMT"/>
        </w:rPr>
        <w:fldChar w:fldCharType="end"/>
      </w:r>
    </w:p>
    <w:p w14:paraId="096D505C">
      <w:pPr>
        <w:spacing w:line="240" w:lineRule="auto"/>
        <w:ind w:left="284" w:hanging="284"/>
        <w:rPr>
          <w:rFonts w:eastAsia="ArialMT"/>
        </w:rPr>
      </w:pPr>
    </w:p>
    <w:sectPr>
      <w:headerReference r:id="rId5" w:type="first"/>
      <w:footerReference r:id="rId8" w:type="first"/>
      <w:headerReference r:id="rId3" w:type="default"/>
      <w:footerReference r:id="rId6" w:type="default"/>
      <w:headerReference r:id="rId4" w:type="even"/>
      <w:footerReference r:id="rId7" w:type="even"/>
      <w:footnotePr>
        <w:numFmt w:val="chicago"/>
      </w:footnotePr>
      <w:pgSz w:w="11905" w:h="16837"/>
      <w:pgMar w:top="1418" w:right="1418" w:bottom="1418"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Lucida Grande">
    <w:panose1 w:val="020B0600040502020204"/>
    <w:charset w:val="00"/>
    <w:family w:val="swiss"/>
    <w:pitch w:val="default"/>
    <w:sig w:usb0="E1000AEF" w:usb1="5000A1FF" w:usb2="00000000" w:usb3="00000000" w:csb0="200001BF" w:csb1="4F010000"/>
  </w:font>
  <w:font w:name="Lucida Sans Unicode">
    <w:altName w:val="苹方-简"/>
    <w:panose1 w:val="020B0602030504020204"/>
    <w:charset w:val="00"/>
    <w:family w:val="swiss"/>
    <w:pitch w:val="default"/>
    <w:sig w:usb0="00000000" w:usb1="00000000" w:usb2="00000000" w:usb3="00000000" w:csb0="000000B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Times New Roman Italic">
    <w:panose1 w:val="02020503050405090304"/>
    <w:charset w:val="00"/>
    <w:family w:val="auto"/>
    <w:pitch w:val="default"/>
    <w:sig w:usb0="E0000AFF" w:usb1="00007843" w:usb2="00000001" w:usb3="00000000" w:csb0="400001BF" w:csb1="DFF70000"/>
  </w:font>
  <w:font w:name="Georgia">
    <w:panose1 w:val="02040502050405090303"/>
    <w:charset w:val="00"/>
    <w:family w:val="roman"/>
    <w:pitch w:val="default"/>
    <w:sig w:usb0="00000287" w:usb1="00000000" w:usb2="00000000" w:usb3="00000000" w:csb0="2000009F" w:csb1="00000000"/>
  </w:font>
  <w:font w:name="ArialMT">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96D5063">
        <w:pPr>
          <w:pStyle w:val="8"/>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096D506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30CD6">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65FE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1FD7E">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10ADF">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3E17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C6F9B"/>
    <w:multiLevelType w:val="multilevel"/>
    <w:tmpl w:val="233C6F9B"/>
    <w:lvl w:ilvl="0" w:tentative="0">
      <w:start w:val="1"/>
      <w:numFmt w:val="decimal"/>
      <w:pStyle w:val="2"/>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bordersDoNotSurroundHeader w:val="0"/>
  <w:bordersDoNotSurroundFooter w:val="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footnotePr>
    <w:numFmt w:val="chicago"/>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363"/>
    <w:rsid w:val="00000CAC"/>
    <w:rsid w:val="00002219"/>
    <w:rsid w:val="00003491"/>
    <w:rsid w:val="00005791"/>
    <w:rsid w:val="00010898"/>
    <w:rsid w:val="00010D92"/>
    <w:rsid w:val="00012C19"/>
    <w:rsid w:val="00015AF0"/>
    <w:rsid w:val="00017ABB"/>
    <w:rsid w:val="00025E75"/>
    <w:rsid w:val="000263A8"/>
    <w:rsid w:val="000374E4"/>
    <w:rsid w:val="0004086D"/>
    <w:rsid w:val="00040C7D"/>
    <w:rsid w:val="000412CF"/>
    <w:rsid w:val="00042975"/>
    <w:rsid w:val="00042AB9"/>
    <w:rsid w:val="00053755"/>
    <w:rsid w:val="00063799"/>
    <w:rsid w:val="00065188"/>
    <w:rsid w:val="000707AA"/>
    <w:rsid w:val="00072F8E"/>
    <w:rsid w:val="0007377B"/>
    <w:rsid w:val="00080F80"/>
    <w:rsid w:val="000811E8"/>
    <w:rsid w:val="00083626"/>
    <w:rsid w:val="00084614"/>
    <w:rsid w:val="00090216"/>
    <w:rsid w:val="00095D49"/>
    <w:rsid w:val="00096985"/>
    <w:rsid w:val="000A2D32"/>
    <w:rsid w:val="000B291F"/>
    <w:rsid w:val="000B359A"/>
    <w:rsid w:val="000B480D"/>
    <w:rsid w:val="000B49B6"/>
    <w:rsid w:val="000B5ABB"/>
    <w:rsid w:val="000B5DB8"/>
    <w:rsid w:val="000B681B"/>
    <w:rsid w:val="000B74B3"/>
    <w:rsid w:val="000C59EA"/>
    <w:rsid w:val="000D3D08"/>
    <w:rsid w:val="000E08A2"/>
    <w:rsid w:val="000E64EF"/>
    <w:rsid w:val="00105A0B"/>
    <w:rsid w:val="00114ACF"/>
    <w:rsid w:val="00115487"/>
    <w:rsid w:val="0011597C"/>
    <w:rsid w:val="001216CF"/>
    <w:rsid w:val="00125CF6"/>
    <w:rsid w:val="0013396D"/>
    <w:rsid w:val="00136C51"/>
    <w:rsid w:val="001447D0"/>
    <w:rsid w:val="001475A3"/>
    <w:rsid w:val="00152BB0"/>
    <w:rsid w:val="00152F1D"/>
    <w:rsid w:val="001544C7"/>
    <w:rsid w:val="00155463"/>
    <w:rsid w:val="0016196B"/>
    <w:rsid w:val="00163B84"/>
    <w:rsid w:val="0016623F"/>
    <w:rsid w:val="00171D8C"/>
    <w:rsid w:val="001809E5"/>
    <w:rsid w:val="00182758"/>
    <w:rsid w:val="001852BE"/>
    <w:rsid w:val="0018566B"/>
    <w:rsid w:val="00190034"/>
    <w:rsid w:val="00192FB0"/>
    <w:rsid w:val="00193366"/>
    <w:rsid w:val="00193C4C"/>
    <w:rsid w:val="001A0C51"/>
    <w:rsid w:val="001A2859"/>
    <w:rsid w:val="001B22EF"/>
    <w:rsid w:val="001B487B"/>
    <w:rsid w:val="001B6531"/>
    <w:rsid w:val="001C28BF"/>
    <w:rsid w:val="001C2D62"/>
    <w:rsid w:val="001D19AA"/>
    <w:rsid w:val="001D5869"/>
    <w:rsid w:val="001E2FFC"/>
    <w:rsid w:val="001E6315"/>
    <w:rsid w:val="001E6963"/>
    <w:rsid w:val="001E69E1"/>
    <w:rsid w:val="001E7052"/>
    <w:rsid w:val="001F2091"/>
    <w:rsid w:val="001F5F57"/>
    <w:rsid w:val="0020204B"/>
    <w:rsid w:val="00204696"/>
    <w:rsid w:val="002102A2"/>
    <w:rsid w:val="0021156E"/>
    <w:rsid w:val="00212B36"/>
    <w:rsid w:val="00215FB7"/>
    <w:rsid w:val="00217FE2"/>
    <w:rsid w:val="00221096"/>
    <w:rsid w:val="002210FD"/>
    <w:rsid w:val="00221A9B"/>
    <w:rsid w:val="00222D47"/>
    <w:rsid w:val="0022357D"/>
    <w:rsid w:val="002241FA"/>
    <w:rsid w:val="00225717"/>
    <w:rsid w:val="00225995"/>
    <w:rsid w:val="00225B11"/>
    <w:rsid w:val="0022700F"/>
    <w:rsid w:val="00233BFE"/>
    <w:rsid w:val="002363D2"/>
    <w:rsid w:val="00240B09"/>
    <w:rsid w:val="00242B8B"/>
    <w:rsid w:val="00244FD2"/>
    <w:rsid w:val="002502F6"/>
    <w:rsid w:val="0025607A"/>
    <w:rsid w:val="002614F7"/>
    <w:rsid w:val="00265F75"/>
    <w:rsid w:val="00266539"/>
    <w:rsid w:val="002674FF"/>
    <w:rsid w:val="0027385D"/>
    <w:rsid w:val="00274F7C"/>
    <w:rsid w:val="00275363"/>
    <w:rsid w:val="00277B93"/>
    <w:rsid w:val="00286716"/>
    <w:rsid w:val="002938BC"/>
    <w:rsid w:val="002A3B8A"/>
    <w:rsid w:val="002A3C9D"/>
    <w:rsid w:val="002A54B4"/>
    <w:rsid w:val="002A5780"/>
    <w:rsid w:val="002A7DE8"/>
    <w:rsid w:val="002B0226"/>
    <w:rsid w:val="002C0A39"/>
    <w:rsid w:val="002C0F75"/>
    <w:rsid w:val="002C49D3"/>
    <w:rsid w:val="002D12EF"/>
    <w:rsid w:val="002D28DC"/>
    <w:rsid w:val="002E0B3C"/>
    <w:rsid w:val="002E43FF"/>
    <w:rsid w:val="002E623E"/>
    <w:rsid w:val="002F0E7F"/>
    <w:rsid w:val="002F47EF"/>
    <w:rsid w:val="002F5244"/>
    <w:rsid w:val="002F5B27"/>
    <w:rsid w:val="002F63B1"/>
    <w:rsid w:val="003054B8"/>
    <w:rsid w:val="00306B37"/>
    <w:rsid w:val="00307890"/>
    <w:rsid w:val="00307D0C"/>
    <w:rsid w:val="00317788"/>
    <w:rsid w:val="00317A64"/>
    <w:rsid w:val="00320F28"/>
    <w:rsid w:val="003329CF"/>
    <w:rsid w:val="00333C3D"/>
    <w:rsid w:val="00334FA2"/>
    <w:rsid w:val="003403A9"/>
    <w:rsid w:val="00341DFF"/>
    <w:rsid w:val="00343E1C"/>
    <w:rsid w:val="00343F49"/>
    <w:rsid w:val="00350C03"/>
    <w:rsid w:val="00351F77"/>
    <w:rsid w:val="003559CC"/>
    <w:rsid w:val="0035709F"/>
    <w:rsid w:val="00365C92"/>
    <w:rsid w:val="00367D08"/>
    <w:rsid w:val="0037481C"/>
    <w:rsid w:val="00381FF5"/>
    <w:rsid w:val="00386E15"/>
    <w:rsid w:val="00387DB0"/>
    <w:rsid w:val="00395BB8"/>
    <w:rsid w:val="00397D40"/>
    <w:rsid w:val="003A7EB2"/>
    <w:rsid w:val="003B583E"/>
    <w:rsid w:val="003C085A"/>
    <w:rsid w:val="003C1B0E"/>
    <w:rsid w:val="003D2E5A"/>
    <w:rsid w:val="003D321E"/>
    <w:rsid w:val="003D79C2"/>
    <w:rsid w:val="003E0809"/>
    <w:rsid w:val="003E451D"/>
    <w:rsid w:val="003E4F13"/>
    <w:rsid w:val="003F2A15"/>
    <w:rsid w:val="004030ED"/>
    <w:rsid w:val="00404303"/>
    <w:rsid w:val="00404501"/>
    <w:rsid w:val="00407978"/>
    <w:rsid w:val="00407D83"/>
    <w:rsid w:val="00410A6C"/>
    <w:rsid w:val="0041117F"/>
    <w:rsid w:val="00412178"/>
    <w:rsid w:val="00412870"/>
    <w:rsid w:val="00414B1B"/>
    <w:rsid w:val="004231FD"/>
    <w:rsid w:val="00424D00"/>
    <w:rsid w:val="00425DDE"/>
    <w:rsid w:val="00433451"/>
    <w:rsid w:val="00435B36"/>
    <w:rsid w:val="00442F20"/>
    <w:rsid w:val="0044480C"/>
    <w:rsid w:val="00445976"/>
    <w:rsid w:val="00452626"/>
    <w:rsid w:val="00463B80"/>
    <w:rsid w:val="0046557C"/>
    <w:rsid w:val="00470D1F"/>
    <w:rsid w:val="00472D97"/>
    <w:rsid w:val="00480DEB"/>
    <w:rsid w:val="00480FE7"/>
    <w:rsid w:val="00481988"/>
    <w:rsid w:val="00482CA5"/>
    <w:rsid w:val="00483D9B"/>
    <w:rsid w:val="0048700F"/>
    <w:rsid w:val="004935FA"/>
    <w:rsid w:val="00493C16"/>
    <w:rsid w:val="004966FE"/>
    <w:rsid w:val="00496A71"/>
    <w:rsid w:val="004A0EA9"/>
    <w:rsid w:val="004A109B"/>
    <w:rsid w:val="004B710D"/>
    <w:rsid w:val="004B784E"/>
    <w:rsid w:val="004C0883"/>
    <w:rsid w:val="004C1BA3"/>
    <w:rsid w:val="004C2DA6"/>
    <w:rsid w:val="004C4370"/>
    <w:rsid w:val="004D3437"/>
    <w:rsid w:val="004E096C"/>
    <w:rsid w:val="004E41AD"/>
    <w:rsid w:val="004E5036"/>
    <w:rsid w:val="004F15CE"/>
    <w:rsid w:val="004F205D"/>
    <w:rsid w:val="004F70B9"/>
    <w:rsid w:val="005046B6"/>
    <w:rsid w:val="00504E47"/>
    <w:rsid w:val="00507E1C"/>
    <w:rsid w:val="00512152"/>
    <w:rsid w:val="00515BD2"/>
    <w:rsid w:val="00517B5E"/>
    <w:rsid w:val="005215BF"/>
    <w:rsid w:val="0052169F"/>
    <w:rsid w:val="0053021B"/>
    <w:rsid w:val="00531C20"/>
    <w:rsid w:val="00534A6B"/>
    <w:rsid w:val="00541D44"/>
    <w:rsid w:val="00543F90"/>
    <w:rsid w:val="00545193"/>
    <w:rsid w:val="00546538"/>
    <w:rsid w:val="00546D79"/>
    <w:rsid w:val="00547B70"/>
    <w:rsid w:val="00550E9E"/>
    <w:rsid w:val="00552C3F"/>
    <w:rsid w:val="005533D9"/>
    <w:rsid w:val="00555EFC"/>
    <w:rsid w:val="00556FF1"/>
    <w:rsid w:val="0056034A"/>
    <w:rsid w:val="005665D6"/>
    <w:rsid w:val="0057264B"/>
    <w:rsid w:val="00575834"/>
    <w:rsid w:val="0057684C"/>
    <w:rsid w:val="00594E20"/>
    <w:rsid w:val="005A2740"/>
    <w:rsid w:val="005A320C"/>
    <w:rsid w:val="005A43D8"/>
    <w:rsid w:val="005B27FC"/>
    <w:rsid w:val="005B4E26"/>
    <w:rsid w:val="005B5E50"/>
    <w:rsid w:val="005C146A"/>
    <w:rsid w:val="005C2750"/>
    <w:rsid w:val="005C474F"/>
    <w:rsid w:val="005D0FF3"/>
    <w:rsid w:val="005D65F2"/>
    <w:rsid w:val="005E0B4C"/>
    <w:rsid w:val="005E6907"/>
    <w:rsid w:val="005F0624"/>
    <w:rsid w:val="005F1678"/>
    <w:rsid w:val="005F7761"/>
    <w:rsid w:val="00600033"/>
    <w:rsid w:val="00607153"/>
    <w:rsid w:val="006079DC"/>
    <w:rsid w:val="00610BF0"/>
    <w:rsid w:val="00611F09"/>
    <w:rsid w:val="006177FD"/>
    <w:rsid w:val="006204B5"/>
    <w:rsid w:val="006233B1"/>
    <w:rsid w:val="00626835"/>
    <w:rsid w:val="00632FB2"/>
    <w:rsid w:val="00634980"/>
    <w:rsid w:val="00635110"/>
    <w:rsid w:val="0064055A"/>
    <w:rsid w:val="00644063"/>
    <w:rsid w:val="006441E0"/>
    <w:rsid w:val="006474D9"/>
    <w:rsid w:val="00654337"/>
    <w:rsid w:val="006555AA"/>
    <w:rsid w:val="006614C6"/>
    <w:rsid w:val="0066424D"/>
    <w:rsid w:val="00666C07"/>
    <w:rsid w:val="006709A1"/>
    <w:rsid w:val="00675CA0"/>
    <w:rsid w:val="0068597F"/>
    <w:rsid w:val="00690402"/>
    <w:rsid w:val="00692768"/>
    <w:rsid w:val="006967BC"/>
    <w:rsid w:val="006A595E"/>
    <w:rsid w:val="006B01DF"/>
    <w:rsid w:val="006B0F4D"/>
    <w:rsid w:val="006B2253"/>
    <w:rsid w:val="006B430F"/>
    <w:rsid w:val="006C788F"/>
    <w:rsid w:val="006E4261"/>
    <w:rsid w:val="006E57CB"/>
    <w:rsid w:val="006E77AC"/>
    <w:rsid w:val="006E7E20"/>
    <w:rsid w:val="006F2685"/>
    <w:rsid w:val="006F2E85"/>
    <w:rsid w:val="0070089A"/>
    <w:rsid w:val="00704E26"/>
    <w:rsid w:val="00705A31"/>
    <w:rsid w:val="007062A3"/>
    <w:rsid w:val="00707BF3"/>
    <w:rsid w:val="00707F6A"/>
    <w:rsid w:val="0071128F"/>
    <w:rsid w:val="00711EDD"/>
    <w:rsid w:val="007177BA"/>
    <w:rsid w:val="00720A1C"/>
    <w:rsid w:val="007225FA"/>
    <w:rsid w:val="00723F25"/>
    <w:rsid w:val="00733993"/>
    <w:rsid w:val="0074113E"/>
    <w:rsid w:val="00742A57"/>
    <w:rsid w:val="00744C43"/>
    <w:rsid w:val="007466D9"/>
    <w:rsid w:val="00746843"/>
    <w:rsid w:val="00750C2E"/>
    <w:rsid w:val="00753D96"/>
    <w:rsid w:val="007556B0"/>
    <w:rsid w:val="00761C1C"/>
    <w:rsid w:val="0077149F"/>
    <w:rsid w:val="007715C3"/>
    <w:rsid w:val="0077317C"/>
    <w:rsid w:val="00773962"/>
    <w:rsid w:val="00774A93"/>
    <w:rsid w:val="00774DB1"/>
    <w:rsid w:val="0077793F"/>
    <w:rsid w:val="0078108F"/>
    <w:rsid w:val="007822D2"/>
    <w:rsid w:val="0078233F"/>
    <w:rsid w:val="00795AE1"/>
    <w:rsid w:val="0079787D"/>
    <w:rsid w:val="007A14E8"/>
    <w:rsid w:val="007A4263"/>
    <w:rsid w:val="007A5396"/>
    <w:rsid w:val="007B132D"/>
    <w:rsid w:val="007B1998"/>
    <w:rsid w:val="007D2B50"/>
    <w:rsid w:val="007D6F32"/>
    <w:rsid w:val="007E1F83"/>
    <w:rsid w:val="007E4ECE"/>
    <w:rsid w:val="007E557F"/>
    <w:rsid w:val="007F6AC8"/>
    <w:rsid w:val="00803354"/>
    <w:rsid w:val="008052C6"/>
    <w:rsid w:val="008133C9"/>
    <w:rsid w:val="00814EB2"/>
    <w:rsid w:val="00820363"/>
    <w:rsid w:val="008206AF"/>
    <w:rsid w:val="008443EA"/>
    <w:rsid w:val="00850524"/>
    <w:rsid w:val="00862F00"/>
    <w:rsid w:val="00865BC6"/>
    <w:rsid w:val="00866F4E"/>
    <w:rsid w:val="00870C05"/>
    <w:rsid w:val="00872824"/>
    <w:rsid w:val="00873EA2"/>
    <w:rsid w:val="00887CBE"/>
    <w:rsid w:val="008915E9"/>
    <w:rsid w:val="008944CA"/>
    <w:rsid w:val="00895442"/>
    <w:rsid w:val="008A0050"/>
    <w:rsid w:val="008A2DCF"/>
    <w:rsid w:val="008A3316"/>
    <w:rsid w:val="008A4530"/>
    <w:rsid w:val="008A7D53"/>
    <w:rsid w:val="008B0FCA"/>
    <w:rsid w:val="008C0ABB"/>
    <w:rsid w:val="008C3638"/>
    <w:rsid w:val="008C6187"/>
    <w:rsid w:val="008C74B5"/>
    <w:rsid w:val="008C7726"/>
    <w:rsid w:val="008D1B4A"/>
    <w:rsid w:val="008D30D2"/>
    <w:rsid w:val="008D4C6F"/>
    <w:rsid w:val="008E0714"/>
    <w:rsid w:val="008E1D45"/>
    <w:rsid w:val="008E2C6C"/>
    <w:rsid w:val="008E2DFE"/>
    <w:rsid w:val="008E3236"/>
    <w:rsid w:val="008E3B85"/>
    <w:rsid w:val="008F3FA0"/>
    <w:rsid w:val="00901513"/>
    <w:rsid w:val="00903326"/>
    <w:rsid w:val="00904279"/>
    <w:rsid w:val="009106E4"/>
    <w:rsid w:val="00912858"/>
    <w:rsid w:val="00913564"/>
    <w:rsid w:val="009154E5"/>
    <w:rsid w:val="00915598"/>
    <w:rsid w:val="00916334"/>
    <w:rsid w:val="00917420"/>
    <w:rsid w:val="009202DE"/>
    <w:rsid w:val="0092574D"/>
    <w:rsid w:val="0092731D"/>
    <w:rsid w:val="0093185B"/>
    <w:rsid w:val="009329AB"/>
    <w:rsid w:val="0093465A"/>
    <w:rsid w:val="00934ED8"/>
    <w:rsid w:val="009352F9"/>
    <w:rsid w:val="0093728E"/>
    <w:rsid w:val="00943B16"/>
    <w:rsid w:val="00944B8A"/>
    <w:rsid w:val="009462E6"/>
    <w:rsid w:val="009503EF"/>
    <w:rsid w:val="00957640"/>
    <w:rsid w:val="0096390B"/>
    <w:rsid w:val="00963E53"/>
    <w:rsid w:val="009649BA"/>
    <w:rsid w:val="00966BA9"/>
    <w:rsid w:val="009710E3"/>
    <w:rsid w:val="00972607"/>
    <w:rsid w:val="00986B2F"/>
    <w:rsid w:val="00990BBA"/>
    <w:rsid w:val="009A1237"/>
    <w:rsid w:val="009A751C"/>
    <w:rsid w:val="009B3962"/>
    <w:rsid w:val="009B3BC9"/>
    <w:rsid w:val="009C0284"/>
    <w:rsid w:val="009C2521"/>
    <w:rsid w:val="009C2BC0"/>
    <w:rsid w:val="009D2909"/>
    <w:rsid w:val="009D2953"/>
    <w:rsid w:val="009D5348"/>
    <w:rsid w:val="009E048C"/>
    <w:rsid w:val="009E0F78"/>
    <w:rsid w:val="009E1786"/>
    <w:rsid w:val="009E3602"/>
    <w:rsid w:val="009F045B"/>
    <w:rsid w:val="009F5795"/>
    <w:rsid w:val="009F651B"/>
    <w:rsid w:val="009F7280"/>
    <w:rsid w:val="00A0038C"/>
    <w:rsid w:val="00A00592"/>
    <w:rsid w:val="00A01715"/>
    <w:rsid w:val="00A05887"/>
    <w:rsid w:val="00A13969"/>
    <w:rsid w:val="00A13DA7"/>
    <w:rsid w:val="00A150CA"/>
    <w:rsid w:val="00A2014E"/>
    <w:rsid w:val="00A21F57"/>
    <w:rsid w:val="00A234D9"/>
    <w:rsid w:val="00A24FE2"/>
    <w:rsid w:val="00A300ED"/>
    <w:rsid w:val="00A35D85"/>
    <w:rsid w:val="00A36CBA"/>
    <w:rsid w:val="00A37D4D"/>
    <w:rsid w:val="00A42464"/>
    <w:rsid w:val="00A42EA9"/>
    <w:rsid w:val="00A42EF4"/>
    <w:rsid w:val="00A4778E"/>
    <w:rsid w:val="00A62B44"/>
    <w:rsid w:val="00A71DA2"/>
    <w:rsid w:val="00A72374"/>
    <w:rsid w:val="00A75B7D"/>
    <w:rsid w:val="00A76004"/>
    <w:rsid w:val="00A76B9C"/>
    <w:rsid w:val="00A77309"/>
    <w:rsid w:val="00A80C3C"/>
    <w:rsid w:val="00A81D21"/>
    <w:rsid w:val="00A82BEB"/>
    <w:rsid w:val="00A853DB"/>
    <w:rsid w:val="00A87905"/>
    <w:rsid w:val="00A87933"/>
    <w:rsid w:val="00A90668"/>
    <w:rsid w:val="00A91089"/>
    <w:rsid w:val="00A93DD6"/>
    <w:rsid w:val="00A93F28"/>
    <w:rsid w:val="00A9421A"/>
    <w:rsid w:val="00AB538E"/>
    <w:rsid w:val="00AB673E"/>
    <w:rsid w:val="00AC0931"/>
    <w:rsid w:val="00AC36FA"/>
    <w:rsid w:val="00AC43E6"/>
    <w:rsid w:val="00AC4C62"/>
    <w:rsid w:val="00AC68B5"/>
    <w:rsid w:val="00AD25AE"/>
    <w:rsid w:val="00AD31C9"/>
    <w:rsid w:val="00AE6B96"/>
    <w:rsid w:val="00AF521B"/>
    <w:rsid w:val="00AF63D4"/>
    <w:rsid w:val="00B0014B"/>
    <w:rsid w:val="00B03639"/>
    <w:rsid w:val="00B1292C"/>
    <w:rsid w:val="00B147AD"/>
    <w:rsid w:val="00B164D5"/>
    <w:rsid w:val="00B21084"/>
    <w:rsid w:val="00B22004"/>
    <w:rsid w:val="00B22D85"/>
    <w:rsid w:val="00B30CF3"/>
    <w:rsid w:val="00B31EF1"/>
    <w:rsid w:val="00B335E6"/>
    <w:rsid w:val="00B34C0E"/>
    <w:rsid w:val="00B4204E"/>
    <w:rsid w:val="00B46EF8"/>
    <w:rsid w:val="00B53A30"/>
    <w:rsid w:val="00B54327"/>
    <w:rsid w:val="00B63B8E"/>
    <w:rsid w:val="00B645AF"/>
    <w:rsid w:val="00B66B92"/>
    <w:rsid w:val="00B74173"/>
    <w:rsid w:val="00B75905"/>
    <w:rsid w:val="00B8073B"/>
    <w:rsid w:val="00B81B52"/>
    <w:rsid w:val="00B82495"/>
    <w:rsid w:val="00B84B33"/>
    <w:rsid w:val="00B869AD"/>
    <w:rsid w:val="00B86D2D"/>
    <w:rsid w:val="00B90D94"/>
    <w:rsid w:val="00B95CE9"/>
    <w:rsid w:val="00BA1AFD"/>
    <w:rsid w:val="00BA580D"/>
    <w:rsid w:val="00BA711E"/>
    <w:rsid w:val="00BB12C4"/>
    <w:rsid w:val="00BB5944"/>
    <w:rsid w:val="00BC38A6"/>
    <w:rsid w:val="00BC60BF"/>
    <w:rsid w:val="00BD2F48"/>
    <w:rsid w:val="00BD6FD2"/>
    <w:rsid w:val="00BE0006"/>
    <w:rsid w:val="00BE2963"/>
    <w:rsid w:val="00BE4C0C"/>
    <w:rsid w:val="00BE6F52"/>
    <w:rsid w:val="00BF0694"/>
    <w:rsid w:val="00BF37DB"/>
    <w:rsid w:val="00BF411B"/>
    <w:rsid w:val="00C01CA3"/>
    <w:rsid w:val="00C03603"/>
    <w:rsid w:val="00C0584F"/>
    <w:rsid w:val="00C11F12"/>
    <w:rsid w:val="00C16DC1"/>
    <w:rsid w:val="00C2406D"/>
    <w:rsid w:val="00C24734"/>
    <w:rsid w:val="00C26C80"/>
    <w:rsid w:val="00C26FF2"/>
    <w:rsid w:val="00C32AF4"/>
    <w:rsid w:val="00C34723"/>
    <w:rsid w:val="00C37B55"/>
    <w:rsid w:val="00C405E0"/>
    <w:rsid w:val="00C40EE1"/>
    <w:rsid w:val="00C41DF2"/>
    <w:rsid w:val="00C42962"/>
    <w:rsid w:val="00C45C57"/>
    <w:rsid w:val="00C46CDB"/>
    <w:rsid w:val="00C50ECF"/>
    <w:rsid w:val="00C5259F"/>
    <w:rsid w:val="00C5331A"/>
    <w:rsid w:val="00C53AD8"/>
    <w:rsid w:val="00C548DB"/>
    <w:rsid w:val="00C55700"/>
    <w:rsid w:val="00C60212"/>
    <w:rsid w:val="00C64279"/>
    <w:rsid w:val="00C65737"/>
    <w:rsid w:val="00C66964"/>
    <w:rsid w:val="00C67A83"/>
    <w:rsid w:val="00C71DE8"/>
    <w:rsid w:val="00C7772B"/>
    <w:rsid w:val="00C84D9A"/>
    <w:rsid w:val="00C9063B"/>
    <w:rsid w:val="00C910C6"/>
    <w:rsid w:val="00C94C78"/>
    <w:rsid w:val="00CA1D34"/>
    <w:rsid w:val="00CA74A4"/>
    <w:rsid w:val="00CB0240"/>
    <w:rsid w:val="00CB0DB9"/>
    <w:rsid w:val="00CB52FF"/>
    <w:rsid w:val="00CB5985"/>
    <w:rsid w:val="00CB7027"/>
    <w:rsid w:val="00CC1BFE"/>
    <w:rsid w:val="00CC1FC5"/>
    <w:rsid w:val="00CC6F9C"/>
    <w:rsid w:val="00CC705D"/>
    <w:rsid w:val="00CD1096"/>
    <w:rsid w:val="00CD2D49"/>
    <w:rsid w:val="00CD68B1"/>
    <w:rsid w:val="00CE2367"/>
    <w:rsid w:val="00CE387B"/>
    <w:rsid w:val="00CE5DBA"/>
    <w:rsid w:val="00CF415A"/>
    <w:rsid w:val="00CF7521"/>
    <w:rsid w:val="00D04064"/>
    <w:rsid w:val="00D1548D"/>
    <w:rsid w:val="00D21109"/>
    <w:rsid w:val="00D2180B"/>
    <w:rsid w:val="00D230AE"/>
    <w:rsid w:val="00D26A7B"/>
    <w:rsid w:val="00D30378"/>
    <w:rsid w:val="00D37AD9"/>
    <w:rsid w:val="00D40E4A"/>
    <w:rsid w:val="00D420A5"/>
    <w:rsid w:val="00D420D5"/>
    <w:rsid w:val="00D43688"/>
    <w:rsid w:val="00D46F22"/>
    <w:rsid w:val="00D46FF7"/>
    <w:rsid w:val="00D47602"/>
    <w:rsid w:val="00D50542"/>
    <w:rsid w:val="00D5386A"/>
    <w:rsid w:val="00D559D1"/>
    <w:rsid w:val="00D60A04"/>
    <w:rsid w:val="00D64696"/>
    <w:rsid w:val="00D656D2"/>
    <w:rsid w:val="00D66621"/>
    <w:rsid w:val="00D66A9B"/>
    <w:rsid w:val="00D7460E"/>
    <w:rsid w:val="00D7699D"/>
    <w:rsid w:val="00D86732"/>
    <w:rsid w:val="00D87EF8"/>
    <w:rsid w:val="00D90F7D"/>
    <w:rsid w:val="00D913C7"/>
    <w:rsid w:val="00D91A74"/>
    <w:rsid w:val="00DA28AE"/>
    <w:rsid w:val="00DB3A28"/>
    <w:rsid w:val="00DC0A10"/>
    <w:rsid w:val="00DC0F20"/>
    <w:rsid w:val="00DC737A"/>
    <w:rsid w:val="00DD377D"/>
    <w:rsid w:val="00DE05F4"/>
    <w:rsid w:val="00DE4A46"/>
    <w:rsid w:val="00DE5888"/>
    <w:rsid w:val="00DE5A7F"/>
    <w:rsid w:val="00DF08A1"/>
    <w:rsid w:val="00DF2C2A"/>
    <w:rsid w:val="00E13EE1"/>
    <w:rsid w:val="00E16F4F"/>
    <w:rsid w:val="00E21979"/>
    <w:rsid w:val="00E22EC7"/>
    <w:rsid w:val="00E26275"/>
    <w:rsid w:val="00E27183"/>
    <w:rsid w:val="00E41CF1"/>
    <w:rsid w:val="00E4683A"/>
    <w:rsid w:val="00E568A2"/>
    <w:rsid w:val="00E56CE9"/>
    <w:rsid w:val="00E6770E"/>
    <w:rsid w:val="00E70C2A"/>
    <w:rsid w:val="00E745B6"/>
    <w:rsid w:val="00E747E8"/>
    <w:rsid w:val="00E823A2"/>
    <w:rsid w:val="00E858EC"/>
    <w:rsid w:val="00E87A77"/>
    <w:rsid w:val="00E90039"/>
    <w:rsid w:val="00E9161D"/>
    <w:rsid w:val="00E91681"/>
    <w:rsid w:val="00E91AD2"/>
    <w:rsid w:val="00E920BD"/>
    <w:rsid w:val="00E931A5"/>
    <w:rsid w:val="00EA3F11"/>
    <w:rsid w:val="00EA49A2"/>
    <w:rsid w:val="00EA6383"/>
    <w:rsid w:val="00EB1368"/>
    <w:rsid w:val="00EB47A6"/>
    <w:rsid w:val="00EB661C"/>
    <w:rsid w:val="00EB6F2B"/>
    <w:rsid w:val="00EB783B"/>
    <w:rsid w:val="00EC356B"/>
    <w:rsid w:val="00EC35E6"/>
    <w:rsid w:val="00EC714D"/>
    <w:rsid w:val="00EE0DF2"/>
    <w:rsid w:val="00EE5C4F"/>
    <w:rsid w:val="00EE60E6"/>
    <w:rsid w:val="00EF013D"/>
    <w:rsid w:val="00EF07B6"/>
    <w:rsid w:val="00EF2F01"/>
    <w:rsid w:val="00EF51BD"/>
    <w:rsid w:val="00EF5BD4"/>
    <w:rsid w:val="00F02671"/>
    <w:rsid w:val="00F0577E"/>
    <w:rsid w:val="00F1048C"/>
    <w:rsid w:val="00F1355F"/>
    <w:rsid w:val="00F1378E"/>
    <w:rsid w:val="00F13C28"/>
    <w:rsid w:val="00F14CDC"/>
    <w:rsid w:val="00F246DA"/>
    <w:rsid w:val="00F27391"/>
    <w:rsid w:val="00F27D7B"/>
    <w:rsid w:val="00F3178A"/>
    <w:rsid w:val="00F32ABC"/>
    <w:rsid w:val="00F33213"/>
    <w:rsid w:val="00F35849"/>
    <w:rsid w:val="00F35AC5"/>
    <w:rsid w:val="00F3795F"/>
    <w:rsid w:val="00F41D50"/>
    <w:rsid w:val="00F455B2"/>
    <w:rsid w:val="00F45B32"/>
    <w:rsid w:val="00F53EA2"/>
    <w:rsid w:val="00F600DA"/>
    <w:rsid w:val="00F6050A"/>
    <w:rsid w:val="00F658C5"/>
    <w:rsid w:val="00F707D5"/>
    <w:rsid w:val="00F77B2E"/>
    <w:rsid w:val="00F77F58"/>
    <w:rsid w:val="00F848DF"/>
    <w:rsid w:val="00F85E24"/>
    <w:rsid w:val="00F87F4E"/>
    <w:rsid w:val="00F95EB9"/>
    <w:rsid w:val="00FA1A0C"/>
    <w:rsid w:val="00FA405E"/>
    <w:rsid w:val="00FA522C"/>
    <w:rsid w:val="00FA53BE"/>
    <w:rsid w:val="00FB35DD"/>
    <w:rsid w:val="00FC2343"/>
    <w:rsid w:val="00FC42E2"/>
    <w:rsid w:val="00FC4798"/>
    <w:rsid w:val="00FD1A70"/>
    <w:rsid w:val="00FD3CEA"/>
    <w:rsid w:val="00FD5C0F"/>
    <w:rsid w:val="00FD5D1C"/>
    <w:rsid w:val="00FD6503"/>
    <w:rsid w:val="00FE01AB"/>
    <w:rsid w:val="00FE4F8A"/>
    <w:rsid w:val="00FE516D"/>
    <w:rsid w:val="00FF4E2E"/>
    <w:rsid w:val="17FD0748"/>
    <w:rsid w:val="19DC24E4"/>
    <w:rsid w:val="1EFAC642"/>
    <w:rsid w:val="1F7BF723"/>
    <w:rsid w:val="1FF33684"/>
    <w:rsid w:val="27CF245C"/>
    <w:rsid w:val="3EB59C30"/>
    <w:rsid w:val="43BB24B1"/>
    <w:rsid w:val="45FC29D8"/>
    <w:rsid w:val="4DE7027C"/>
    <w:rsid w:val="537F7BF8"/>
    <w:rsid w:val="579C1540"/>
    <w:rsid w:val="5FBFE9FE"/>
    <w:rsid w:val="5FF7706A"/>
    <w:rsid w:val="6C7F32F8"/>
    <w:rsid w:val="6DFCBA3D"/>
    <w:rsid w:val="6F1B26AE"/>
    <w:rsid w:val="6F1DEA0E"/>
    <w:rsid w:val="6FFE90AD"/>
    <w:rsid w:val="77FA9B4D"/>
    <w:rsid w:val="77FDA9F5"/>
    <w:rsid w:val="7B5576F2"/>
    <w:rsid w:val="7D1F47E9"/>
    <w:rsid w:val="7DADDFD1"/>
    <w:rsid w:val="7DDF6211"/>
    <w:rsid w:val="7DDFAF81"/>
    <w:rsid w:val="7F3B13C9"/>
    <w:rsid w:val="7F484F3E"/>
    <w:rsid w:val="ADD7BB68"/>
    <w:rsid w:val="B8BDBDA5"/>
    <w:rsid w:val="BDFFDDF0"/>
    <w:rsid w:val="BEF262F4"/>
    <w:rsid w:val="D5EED873"/>
    <w:rsid w:val="D9DF84BD"/>
    <w:rsid w:val="DBB755D0"/>
    <w:rsid w:val="DF5F4CB0"/>
    <w:rsid w:val="DFBFE484"/>
    <w:rsid w:val="E1F52538"/>
    <w:rsid w:val="EB7F96BF"/>
    <w:rsid w:val="EDD6EE28"/>
    <w:rsid w:val="EE6A8604"/>
    <w:rsid w:val="EEBFEB19"/>
    <w:rsid w:val="EFDF913B"/>
    <w:rsid w:val="EFFF8164"/>
    <w:rsid w:val="F5723D18"/>
    <w:rsid w:val="F65FFFE7"/>
    <w:rsid w:val="F6F78600"/>
    <w:rsid w:val="F7FD3797"/>
    <w:rsid w:val="F8F793F1"/>
    <w:rsid w:val="FAFF62AE"/>
    <w:rsid w:val="FB7DF764"/>
    <w:rsid w:val="FBCBDAA5"/>
    <w:rsid w:val="FBDE7775"/>
    <w:rsid w:val="FDCD8330"/>
    <w:rsid w:val="FDDD4333"/>
    <w:rsid w:val="FDFD8BC2"/>
    <w:rsid w:val="FEE7F738"/>
    <w:rsid w:val="FF6C49C7"/>
    <w:rsid w:val="FFBF117F"/>
    <w:rsid w:val="FFEE6C04"/>
    <w:rsid w:val="FFF75756"/>
  </w:rsids>
  <m:mathPr>
    <m:mathFont m:val="Cambria Math"/>
    <m:brkBin m:val="before"/>
    <m:brkBinSub m:val="--"/>
    <m:smallFrac m:val="0"/>
    <m:dispDef m:val="0"/>
    <m:lMargin m:val="0"/>
    <m:rMargin m:val="0"/>
    <m:defJc m:val="centerGroup"/>
    <m:wrapRight m:val="1"/>
    <m:intLim m:val="subSup"/>
    <m:naryLim m:val="subSup"/>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uiPriority="0" w:name="annotation text"/>
    <w:lsdException w:uiPriority="0" w:semiHidden="0" w:name="header"/>
    <w:lsdException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cs="Times New Roman" w:eastAsiaTheme="minorEastAsia"/>
      <w:sz w:val="22"/>
      <w:szCs w:val="22"/>
      <w:lang w:val="en-CA" w:eastAsia="ar-SA" w:bidi="ar-SA"/>
    </w:rPr>
  </w:style>
  <w:style w:type="paragraph" w:styleId="2">
    <w:name w:val="heading 1"/>
    <w:basedOn w:val="1"/>
    <w:next w:val="1"/>
    <w:link w:val="29"/>
    <w:qFormat/>
    <w:uiPriority w:val="0"/>
    <w:pPr>
      <w:numPr>
        <w:ilvl w:val="0"/>
        <w:numId w:val="1"/>
      </w:numPr>
      <w:outlineLvl w:val="0"/>
    </w:pPr>
    <w:rPr>
      <w:b/>
      <w:bCs/>
    </w:rPr>
  </w:style>
  <w:style w:type="paragraph" w:styleId="3">
    <w:name w:val="heading 2"/>
    <w:basedOn w:val="1"/>
    <w:next w:val="1"/>
    <w:link w:val="30"/>
    <w:unhideWhenUsed/>
    <w:qFormat/>
    <w:uiPriority w:val="0"/>
    <w:pPr>
      <w:outlineLvl w:val="1"/>
    </w:pPr>
    <w:rPr>
      <w:b/>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caption"/>
    <w:basedOn w:val="1"/>
    <w:qFormat/>
    <w:uiPriority w:val="0"/>
    <w:pPr>
      <w:suppressLineNumbers/>
      <w:spacing w:before="120" w:after="120"/>
      <w:jc w:val="center"/>
    </w:pPr>
    <w:rPr>
      <w:rFonts w:cs="Tahoma"/>
      <w:iCs/>
      <w:szCs w:val="20"/>
    </w:rPr>
  </w:style>
  <w:style w:type="paragraph" w:styleId="5">
    <w:name w:val="annotation text"/>
    <w:basedOn w:val="1"/>
    <w:semiHidden/>
    <w:unhideWhenUsed/>
    <w:uiPriority w:val="0"/>
    <w:pPr>
      <w:jc w:val="left"/>
    </w:pPr>
  </w:style>
  <w:style w:type="paragraph" w:styleId="6">
    <w:name w:val="Body Text"/>
    <w:basedOn w:val="1"/>
    <w:link w:val="31"/>
    <w:uiPriority w:val="0"/>
    <w:pPr>
      <w:tabs>
        <w:tab w:val="left" w:pos="360"/>
      </w:tabs>
    </w:pPr>
  </w:style>
  <w:style w:type="paragraph" w:styleId="7">
    <w:name w:val="Balloon Text"/>
    <w:basedOn w:val="1"/>
    <w:link w:val="27"/>
    <w:uiPriority w:val="0"/>
    <w:rPr>
      <w:rFonts w:ascii="Lucida Grande" w:hAnsi="Lucida Grande" w:cs="Lucida Grande"/>
      <w:sz w:val="18"/>
      <w:szCs w:val="18"/>
    </w:rPr>
  </w:style>
  <w:style w:type="paragraph" w:styleId="8">
    <w:name w:val="footer"/>
    <w:basedOn w:val="1"/>
    <w:link w:val="33"/>
    <w:unhideWhenUsed/>
    <w:uiPriority w:val="99"/>
    <w:pPr>
      <w:tabs>
        <w:tab w:val="center" w:pos="4513"/>
        <w:tab w:val="right" w:pos="9026"/>
      </w:tabs>
    </w:pPr>
  </w:style>
  <w:style w:type="paragraph" w:styleId="9">
    <w:name w:val="header"/>
    <w:basedOn w:val="1"/>
    <w:link w:val="32"/>
    <w:unhideWhenUsed/>
    <w:uiPriority w:val="0"/>
    <w:pPr>
      <w:tabs>
        <w:tab w:val="center" w:pos="4513"/>
        <w:tab w:val="right" w:pos="9026"/>
      </w:tabs>
    </w:pPr>
  </w:style>
  <w:style w:type="paragraph" w:styleId="10">
    <w:name w:val="List"/>
    <w:basedOn w:val="6"/>
    <w:uiPriority w:val="0"/>
    <w:rPr>
      <w:rFonts w:cs="Tahoma"/>
    </w:rPr>
  </w:style>
  <w:style w:type="paragraph" w:styleId="11">
    <w:name w:val="footnote text"/>
    <w:basedOn w:val="1"/>
    <w:link w:val="28"/>
    <w:uiPriority w:val="0"/>
  </w:style>
  <w:style w:type="table" w:styleId="13">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6"/>
    <w:uiPriority w:val="0"/>
    <w:rPr>
      <w:color w:val="800080"/>
      <w:u w:val="single"/>
    </w:rPr>
  </w:style>
  <w:style w:type="character" w:customStyle="1" w:styleId="16">
    <w:name w:val="Police par défaut"/>
    <w:uiPriority w:val="0"/>
  </w:style>
  <w:style w:type="character" w:styleId="17">
    <w:name w:val="Emphasis"/>
    <w:basedOn w:val="14"/>
    <w:qFormat/>
    <w:uiPriority w:val="20"/>
    <w:rPr>
      <w:i/>
      <w:iCs/>
    </w:rPr>
  </w:style>
  <w:style w:type="character" w:styleId="18">
    <w:name w:val="Hyperlink"/>
    <w:basedOn w:val="16"/>
    <w:uiPriority w:val="0"/>
    <w:rPr>
      <w:color w:val="0000FF"/>
      <w:u w:val="single"/>
    </w:rPr>
  </w:style>
  <w:style w:type="character" w:styleId="19">
    <w:name w:val="footnote reference"/>
    <w:basedOn w:val="14"/>
    <w:uiPriority w:val="0"/>
    <w:rPr>
      <w:vertAlign w:val="superscript"/>
    </w:rPr>
  </w:style>
  <w:style w:type="character" w:customStyle="1" w:styleId="20">
    <w:name w:val="Absatz-Standardschriftart"/>
    <w:uiPriority w:val="0"/>
  </w:style>
  <w:style w:type="character" w:customStyle="1" w:styleId="21">
    <w:name w:val="Numbering Symbols"/>
    <w:uiPriority w:val="0"/>
  </w:style>
  <w:style w:type="paragraph" w:customStyle="1" w:styleId="22">
    <w:name w:val="Heading"/>
    <w:basedOn w:val="1"/>
    <w:next w:val="6"/>
    <w:uiPriority w:val="0"/>
    <w:pPr>
      <w:keepNext/>
      <w:spacing w:before="240" w:after="120"/>
    </w:pPr>
    <w:rPr>
      <w:rFonts w:ascii="Arial" w:hAnsi="Arial" w:eastAsia="Lucida Sans Unicode" w:cs="Tahoma"/>
      <w:sz w:val="28"/>
      <w:szCs w:val="28"/>
    </w:rPr>
  </w:style>
  <w:style w:type="paragraph" w:customStyle="1" w:styleId="23">
    <w:name w:val="Index"/>
    <w:basedOn w:val="1"/>
    <w:uiPriority w:val="0"/>
    <w:pPr>
      <w:suppressLineNumbers/>
    </w:pPr>
    <w:rPr>
      <w:rFonts w:cs="Tahoma"/>
    </w:rPr>
  </w:style>
  <w:style w:type="paragraph" w:customStyle="1" w:styleId="24">
    <w:name w:val="Definition Term"/>
    <w:basedOn w:val="1"/>
    <w:next w:val="1"/>
    <w:uiPriority w:val="0"/>
  </w:style>
  <w:style w:type="paragraph" w:customStyle="1" w:styleId="25">
    <w:name w:val="Table Contents"/>
    <w:basedOn w:val="1"/>
    <w:uiPriority w:val="0"/>
    <w:pPr>
      <w:suppressLineNumbers/>
    </w:pPr>
  </w:style>
  <w:style w:type="paragraph" w:customStyle="1" w:styleId="26">
    <w:name w:val="Table Heading"/>
    <w:basedOn w:val="25"/>
    <w:uiPriority w:val="0"/>
    <w:pPr>
      <w:jc w:val="center"/>
    </w:pPr>
    <w:rPr>
      <w:b/>
      <w:bCs/>
      <w:i/>
      <w:iCs/>
    </w:rPr>
  </w:style>
  <w:style w:type="character" w:customStyle="1" w:styleId="27">
    <w:name w:val="批注框文本 字符"/>
    <w:basedOn w:val="14"/>
    <w:link w:val="7"/>
    <w:uiPriority w:val="0"/>
    <w:rPr>
      <w:rFonts w:ascii="Lucida Grande" w:hAnsi="Lucida Grande" w:cs="Lucida Grande"/>
      <w:sz w:val="18"/>
      <w:szCs w:val="18"/>
      <w:lang w:eastAsia="ar-SA"/>
    </w:rPr>
  </w:style>
  <w:style w:type="character" w:customStyle="1" w:styleId="28">
    <w:name w:val="脚注文本 字符"/>
    <w:basedOn w:val="14"/>
    <w:link w:val="11"/>
    <w:uiPriority w:val="0"/>
    <w:rPr>
      <w:sz w:val="24"/>
      <w:szCs w:val="24"/>
      <w:lang w:eastAsia="ar-SA"/>
    </w:rPr>
  </w:style>
  <w:style w:type="character" w:customStyle="1" w:styleId="29">
    <w:name w:val="标题 1 字符"/>
    <w:basedOn w:val="14"/>
    <w:link w:val="2"/>
    <w:uiPriority w:val="0"/>
    <w:rPr>
      <w:b/>
      <w:bCs/>
      <w:sz w:val="22"/>
      <w:szCs w:val="22"/>
      <w:lang w:val="en-CA" w:eastAsia="ar-SA"/>
    </w:rPr>
  </w:style>
  <w:style w:type="character" w:customStyle="1" w:styleId="30">
    <w:name w:val="标题 2 字符"/>
    <w:basedOn w:val="14"/>
    <w:link w:val="3"/>
    <w:uiPriority w:val="0"/>
    <w:rPr>
      <w:b/>
      <w:sz w:val="22"/>
      <w:szCs w:val="22"/>
      <w:lang w:val="en-CA" w:eastAsia="ar-SA"/>
    </w:rPr>
  </w:style>
  <w:style w:type="character" w:customStyle="1" w:styleId="31">
    <w:name w:val="正文文本 字符"/>
    <w:basedOn w:val="14"/>
    <w:link w:val="6"/>
    <w:uiPriority w:val="0"/>
    <w:rPr>
      <w:sz w:val="22"/>
      <w:szCs w:val="22"/>
      <w:lang w:val="en-CA" w:eastAsia="ar-SA"/>
    </w:rPr>
  </w:style>
  <w:style w:type="character" w:customStyle="1" w:styleId="32">
    <w:name w:val="页眉 字符"/>
    <w:basedOn w:val="14"/>
    <w:link w:val="9"/>
    <w:uiPriority w:val="0"/>
    <w:rPr>
      <w:sz w:val="22"/>
      <w:szCs w:val="22"/>
      <w:lang w:val="en-CA" w:eastAsia="ar-SA"/>
    </w:rPr>
  </w:style>
  <w:style w:type="character" w:customStyle="1" w:styleId="33">
    <w:name w:val="页脚 字符"/>
    <w:basedOn w:val="14"/>
    <w:link w:val="8"/>
    <w:uiPriority w:val="99"/>
    <w:rPr>
      <w:sz w:val="22"/>
      <w:szCs w:val="22"/>
      <w:lang w:val="en-CA" w:eastAsia="ar-SA"/>
    </w:rPr>
  </w:style>
  <w:style w:type="paragraph" w:styleId="34">
    <w:name w:val="List Paragraph"/>
    <w:basedOn w:val="1"/>
    <w:qFormat/>
    <w:uiPriority w:val="34"/>
    <w:pPr>
      <w:ind w:firstLine="420" w:firstLineChars="200"/>
    </w:pPr>
  </w:style>
  <w:style w:type="character" w:styleId="35">
    <w:name w:val="Placeholder Text"/>
    <w:basedOn w:val="14"/>
    <w:semiHidden/>
    <w:uiPriority w:val="99"/>
    <w:rPr>
      <w:color w:val="666666"/>
    </w:rPr>
  </w:style>
  <w:style w:type="character" w:customStyle="1" w:styleId="36">
    <w:name w:val="katex-mathml"/>
    <w:basedOn w:val="14"/>
    <w:uiPriority w:val="0"/>
  </w:style>
  <w:style w:type="character" w:customStyle="1" w:styleId="37">
    <w:name w:val="mord"/>
    <w:basedOn w:val="14"/>
    <w:uiPriority w:val="0"/>
  </w:style>
  <w:style w:type="character" w:customStyle="1" w:styleId="38">
    <w:name w:val="Unresolved Mention"/>
    <w:basedOn w:val="14"/>
    <w:semiHidden/>
    <w:unhideWhenUsed/>
    <w:uiPriority w:val="99"/>
    <w:rPr>
      <w:color w:val="605E5C"/>
      <w:shd w:val="clear" w:color="auto" w:fill="E1DFDD"/>
    </w:rPr>
  </w:style>
  <w:style w:type="paragraph" w:customStyle="1" w:styleId="39">
    <w:name w:val="Bibliography"/>
    <w:basedOn w:val="1"/>
    <w:next w:val="1"/>
    <w:unhideWhenUsed/>
    <w:uiPriority w:val="37"/>
    <w:pPr>
      <w:spacing w:after="240"/>
    </w:pPr>
  </w:style>
  <w:style w:type="paragraph" w:customStyle="1" w:styleId="40">
    <w:name w:val="Bibliography Entry"/>
    <w:basedOn w:val="1"/>
    <w:uiPriority w:val="0"/>
    <w:pPr>
      <w:spacing w:after="24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xsi="http://www.w3.org/2001/XMLSchema-instance" xmlns:pc="http://schemas.microsoft.com/office/infopath/2007/PartnerControls" xmlns:p="http://schemas.microsoft.com/office/2006/metadata/properties">
  <documentManagement/>
</p:properties>
</file>

<file path=customXml/item3.xml><?xml version="1.0" encoding="utf-8"?>
<b:Sources xmlns:b="http://schemas.openxmlformats.org/officeDocument/2006/bibliography" xmlns="http://schemas.openxmlformats.org/officeDocument/2006/bibliography" SelectedStyle="\APASixthEditionOfficeOnline.xsl" Version="6" StyleName="APA"/>
</file>

<file path=customXml/item4.xml><?xml version="1.0" encoding="utf-8"?>
<ct:contentTypeSchema xmlns:ct="http://schemas.microsoft.com/office/2006/metadata/contentType" xmlns:ma="http://schemas.microsoft.com/office/2006/metadata/properties/metaAttributes" ma:contentTypeDescription="Create a new document." ct:_="" ma:contentTypeVersion="14" ma:_="" ma:contentTypeID="0x01010007DA8008D835AB4889B8D512E373EE79" ma:contentTypeName="Document" ma:versionID="12d5f18a9c17fb35eafb3bb36fa00c50" ma:contentTypeScope="">
  <xsd:schema xmlns:xs="http://www.w3.org/2001/XMLSchema" xmlns:ns3="91e19001-d368-4ee2-a3ad-255d5c0b0ac6" xmlns:ns4="cbdf314a-5f3c-45c2-851b-9e3b2855cfd0" xmlns:xsd="http://www.w3.org/2001/XMLSchema" xmlns:p="http://schemas.microsoft.com/office/2006/metadata/properties" ma:root="true" ma:fieldsID="fdc5640d30ddb3fa6c00564981fc86f6" ns3:_="" targetNamespace="http://schemas.microsoft.com/office/2006/metadata/properties" ns4:_="">
    <xsd:import namespace="91e19001-d368-4ee2-a3ad-255d5c0b0ac6"/>
    <xsd:import namespace="cbdf314a-5f3c-45c2-851b-9e3b2855cfd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LengthInSeconds" minOccurs="0"/>
              </xsd:all>
            </xsd:complexType>
          </xsd:element>
        </xsd:sequence>
      </xsd:complexType>
    </xsd:element>
  </xsd:schema>
  <xsd:schema xmlns:xs="http://www.w3.org/2001/XMLSchema" xmlns:xsd="http://www.w3.org/2001/XMLSchema" xmlns:pc="http://schemas.microsoft.com/office/infopath/2007/PartnerControls" xmlns:dms="http://schemas.microsoft.com/office/2006/documentManagement/types" elementFormDefault="qualified" targetNamespace="91e19001-d368-4ee2-a3ad-255d5c0b0ac6">
    <xsd:import namespace="http://schemas.microsoft.com/office/2006/documentManagement/types"/>
    <xsd:import namespace="http://schemas.microsoft.com/office/infopath/2007/PartnerControls"/>
    <xsd:element ma:displayName="Shared With" ma:readOnly="true" name="SharedWithUsers" nillable="true" ma:internalName="SharedWithUsers" ma:index="8">
      <xsd:complexType>
        <xsd:complexContent>
          <xsd:extension base="dms:UserMulti">
            <xsd:sequence>
              <xsd:element name="UserInfo" maxOccurs="unbounded" minOccurs="0">
                <xsd:complexType>
                  <xsd:sequence>
                    <xsd:element name="DisplayName" minOccurs="0" type="xsd:string"/>
                    <xsd:element name="AccountId" nillable="true" minOccurs="0" type="dms:UserId"/>
                    <xsd:element name="AccountType" minOccurs="0" type="xsd:string"/>
                  </xsd:sequence>
                </xsd:complexType>
              </xsd:element>
            </xsd:sequence>
          </xsd:extension>
        </xsd:complexContent>
      </xsd:complexType>
    </xsd:element>
    <xsd:element ma:displayName="Shared With Details" ma:readOnly="true" name="SharedWithDetails" nillable="true" ma:internalName="SharedWithDetails" ma:index="9">
      <xsd:simpleType>
        <xsd:restriction base="dms:Note">
          <xsd:maxLength value="255"/>
        </xsd:restriction>
      </xsd:simpleType>
    </xsd:element>
    <xsd:element ma:displayName="Sharing Hint Hash" ma:readOnly="true" ma:hidden="true" name="SharingHintHash" nillable="true" ma:internalName="SharingHintHash" ma:index="10">
      <xsd:simpleType>
        <xsd:restriction base="dms:Text"/>
      </xsd:simpleType>
    </xsd:element>
  </xsd:schema>
  <xsd:schema xmlns:xs="http://www.w3.org/2001/XMLSchema" xmlns:xsd="http://www.w3.org/2001/XMLSchema" xmlns:pc="http://schemas.microsoft.com/office/infopath/2007/PartnerControls" xmlns:dms="http://schemas.microsoft.com/office/2006/documentManagement/types" elementFormDefault="qualified" targetNamespace="cbdf314a-5f3c-45c2-851b-9e3b2855cfd0">
    <xsd:import namespace="http://schemas.microsoft.com/office/2006/documentManagement/types"/>
    <xsd:import namespace="http://schemas.microsoft.com/office/infopath/2007/PartnerControls"/>
    <xsd:element ma:displayName="MediaServiceMetadata" ma:readOnly="true" ma:hidden="true" name="MediaServiceMetadata" nillable="true" ma:internalName="MediaServiceMetadata" ma:index="11">
      <xsd:simpleType>
        <xsd:restriction base="dms:Note"/>
      </xsd:simpleType>
    </xsd:element>
    <xsd:element ma:displayName="MediaServiceFastMetadata" ma:readOnly="true" ma:hidden="true" name="MediaServiceFastMetadata" nillable="true" ma:internalName="MediaServiceFastMetadata" ma:index="12">
      <xsd:simpleType>
        <xsd:restriction base="dms:Note"/>
      </xsd:simpleType>
    </xsd:element>
    <xsd:element ma:displayName="MediaServiceAutoKeyPoints" ma:readOnly="true" ma:hidden="true" name="MediaServiceAutoKeyPoints" nillable="true" ma:internalName="MediaServiceAutoKeyPoints" ma:index="13">
      <xsd:simpleType>
        <xsd:restriction base="dms:Note"/>
      </xsd:simpleType>
    </xsd:element>
    <xsd:element ma:displayName="KeyPoints" ma:readOnly="true" name="MediaServiceKeyPoints" nillable="true" ma:internalName="MediaServiceKeyPoints" ma:index="14">
      <xsd:simpleType>
        <xsd:restriction base="dms:Note">
          <xsd:maxLength value="255"/>
        </xsd:restriction>
      </xsd:simpleType>
    </xsd:element>
    <xsd:element ma:displayName="MediaServiceDateTaken" ma:readOnly="true" ma:hidden="true" name="MediaServiceDateTaken" nillable="true" ma:internalName="MediaServiceDateTaken" ma:index="15">
      <xsd:simpleType>
        <xsd:restriction base="dms:Text"/>
      </xsd:simpleType>
    </xsd:element>
    <xsd:element ma:displayName="Tags" ma:readOnly="true" name="MediaServiceAutoTags" nillable="true" ma:internalName="MediaServiceAutoTags" ma:index="16">
      <xsd:simpleType>
        <xsd:restriction base="dms:Text"/>
      </xsd:simpleType>
    </xsd:element>
    <xsd:element ma:displayName="Location" ma:readOnly="true" name="MediaServiceLocation" nillable="true" ma:internalName="MediaServiceLocation" ma:index="17">
      <xsd:simpleType>
        <xsd:restriction base="dms:Text"/>
      </xsd:simpleType>
    </xsd:element>
    <xsd:element ma:displayName="Extracted Text" ma:readOnly="true" name="MediaServiceOCR" nillable="true" ma:internalName="MediaServiceOCR" ma:index="18">
      <xsd:simpleType>
        <xsd:restriction base="dms:Note">
          <xsd:maxLength value="255"/>
        </xsd:restriction>
      </xsd:simpleType>
    </xsd:element>
    <xsd:element ma:displayName="MediaServiceGenerationTime" ma:readOnly="true" ma:hidden="true" name="MediaServiceGenerationTime" nillable="true" ma:internalName="MediaServiceGenerationTime" ma:index="19">
      <xsd:simpleType>
        <xsd:restriction base="dms:Text"/>
      </xsd:simpleType>
    </xsd:element>
    <xsd:element ma:displayName="MediaServiceEventHashCode" ma:readOnly="true" ma:hidden="true" name="MediaServiceEventHashCode" nillable="true" ma:internalName="MediaServiceEventHashCode" ma:index="20">
      <xsd:simpleType>
        <xsd:restriction base="dms:Text"/>
      </xsd:simpleType>
    </xsd:element>
    <xsd:element ma:displayName="Length (seconds)" ma:readOnly="true" name="MediaLengthInSeconds" nillable="true" ma:internalName="MediaLengthInSeconds" ma:index="21">
      <xsd:simpleType>
        <xsd:restriction base="dms:Unknown"/>
      </xsd:simpleType>
    </xsd:element>
  </xsd:schema>
  <xsd:schema xmlns:xsd="http://www.w3.org/2001/XMLSchema" xmlns:odoc="http://schemas.microsoft.com/internal/obd" xmlns:dcterms="http://purl.org/dc/terms/" xmlns:xsi="http://www.w3.org/2001/XMLSchema-instance" xmlns:dc="http://purl.org/dc/elements/1.1/" xmlns="http://schemas.openxmlformats.org/package/2006/metadata/core-properties"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ma:displayName="Content Type" name="contentType" maxOccurs="1" minOccurs="0" ma:index="0" type="xsd:string"/>
        <xsd:element ma:displayName="Title" ref="dc:title" maxOccurs="1" minOccurs="0" ma:index="4"/>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5E337-35D1-4BF6-B8BE-51DE66056CFF}">
  <ds:schemaRefs/>
</ds:datastoreItem>
</file>

<file path=customXml/itemProps2.xml><?xml version="1.0" encoding="utf-8"?>
<ds:datastoreItem xmlns:ds="http://schemas.openxmlformats.org/officeDocument/2006/customXml" ds:itemID="{0D42A268-5BC1-413C-8A58-572A3970E8FF}">
  <ds:schemaRefs/>
</ds:datastoreItem>
</file>

<file path=customXml/itemProps3.xml><?xml version="1.0" encoding="utf-8"?>
<ds:datastoreItem xmlns:ds="http://schemas.openxmlformats.org/officeDocument/2006/customXml" ds:itemID="{5952986C-7B66-4936-9AE6-42A98306B816}">
  <ds:schemaRefs/>
</ds:datastoreItem>
</file>

<file path=customXml/itemProps4.xml><?xml version="1.0" encoding="utf-8"?>
<ds:datastoreItem xmlns:ds="http://schemas.openxmlformats.org/officeDocument/2006/customXml" ds:itemID="{D4811FB5-0AF8-459D-A24A-9561BBA61D37}">
  <ds:schemaRefs/>
</ds:datastoreItem>
</file>

<file path=docProps/app.xml><?xml version="1.0" encoding="utf-8"?>
<Properties xmlns="http://schemas.openxmlformats.org/officeDocument/2006/extended-properties" xmlns:vt="http://schemas.openxmlformats.org/officeDocument/2006/docPropsVTypes">
  <Template>Normal.dotm</Template>
  <Company>University of Newcastle</Company>
  <Pages>8</Pages>
  <Words>5794</Words>
  <Characters>33027</Characters>
  <Lines>275</Lines>
  <Paragraphs>77</Paragraphs>
  <TotalTime>119</TotalTime>
  <ScaleCrop>false</ScaleCrop>
  <LinksUpToDate>false</LinksUpToDate>
  <CharactersWithSpaces>38744</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2021-10-30T03:34:00Z</dcterms:created>
  <dc:creator>Katy Appleton</dc:creator>
  <cp:lastModifiedBy>张叶真</cp:lastModifiedBy>
  <cp:lastPrinted>2018-09-20T06:55:00Z</cp:lastPrinted>
  <dcterms:modified xsi:type="dcterms:W3CDTF">2026-10-14T16:37:55Z</dcterms:modified>
  <dc:title>GISRUK 2004 Author Instructions</dc:title>
  <cp:revision>700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0x01010007DA8008D835AB4889B8D512E373EE79</vt:lpwstr>
  </property>
  <property fmtid="{D5CDD505-2E9C-101B-9397-08002B2CF9AE}" pid="4" name="KSOProductBuildVer">
    <vt:lpwstr>2052-12.1.28496.28496</vt:lpwstr>
  </property>
  <property fmtid="{D5CDD505-2E9C-101B-9397-08002B2CF9AE}" pid="5" name="ICV">
    <vt:lpwstr>D2E287713482C6CE9B6A3A6A25EB11CD_42</vt:lpwstr>
  </property>
  <property fmtid="{D5CDD505-2E9C-101B-9397-08002B2CF9AE}" pid="6" name="_ZOTERO_BIBSTYLE_1">
    <vt:lpwstr>{"firstLineIndent":0,"indent":0,"lineSpacing":240,"entrySpacing":240,"tabStops":[],"tabStopsCount":0}</vt:lpwstr>
  </property>
  <property fmtid="{D5CDD505-2E9C-101B-9397-08002B2CF9AE}" pid="7" name="ZOTERO_PREF_1">
    <vt:lpwstr>&lt;data data-version="3" zotero-version="9.0.6"&gt;&lt;session id="p9WZ4uIC"/&gt;&lt;style id="http://www.zotero.org/styles/harvard-cite-them-right" hasBibliography="1" bibliographyStyleHasBeenSet="1"/&gt;&lt;prefs&gt;&lt;pref name="fieldType" value="Field"/&gt;&lt;pref name="automaticJ</vt:lpwstr>
  </property>
  <property fmtid="{D5CDD505-2E9C-101B-9397-08002B2CF9AE}" pid="8" name="ZOTERO_PREF_2">
    <vt:lpwstr>ournalAbbreviations" value="true"/&gt;&lt;/prefs&gt;&lt;/data&gt;</vt:lpwstr>
  </property>
</Properties>
</file>