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全国大学生软件创新大赛竞赛规则</w:t>
      </w:r>
    </w:p>
    <w:p>
      <w:pPr>
        <w:jc w:val="center"/>
      </w:pPr>
      <w:r>
        <w:t>爬取时间：2026年03月14日 23:06:00</w:t>
      </w:r>
    </w:p>
    <w:p/>
    <w:p>
      <w:pPr>
        <w:pStyle w:val="Heading1"/>
      </w:pPr>
      <w:r>
        <w:t>一、大赛基本信息</w:t>
      </w:r>
    </w:p>
    <w:p>
      <w:r>
        <w:br w:type="page"/>
      </w:r>
    </w:p>
    <w:p>
      <w:pPr>
        <w:pStyle w:val="Heading1"/>
      </w:pPr>
      <w:r>
        <w:t>二、参赛要求</w:t>
      </w:r>
    </w:p>
    <w:p>
      <w:pPr>
        <w:pStyle w:val="Heading2"/>
      </w:pPr>
      <w:r>
        <w:t>参赛对象</w:t>
      </w:r>
    </w:p>
    <w:p>
      <w:r>
        <w:t>普通高等院校在籍学生（含本科生、研究生及以上学历）</w:t>
      </w:r>
    </w:p>
    <w:p>
      <w:pPr>
        <w:pStyle w:val="Heading2"/>
      </w:pPr>
      <w:r>
        <w:t>参赛形式</w:t>
      </w:r>
    </w:p>
    <w:p>
      <w:r>
        <w:t>以组队形式报名参赛，每个参赛队人数不超过6人（其中队长1名，其他队员不超过3名，指导教师不超过2名）</w:t>
      </w:r>
    </w:p>
    <w:p>
      <w:pPr>
        <w:pStyle w:val="Heading2"/>
      </w:pPr>
      <w:r>
        <w:t>组队要求</w:t>
      </w:r>
    </w:p>
    <w:p>
      <w:r>
        <w:t>支持跨专业组队和本科生、研究生混合组队。支持跨校组队，参赛单位以队长所在院校为准。同一指导教师可同时指导多支参赛团队。每名参赛学生限参加一支队伍。每个参赛队伍只能提交一个软件作品。</w:t>
      </w:r>
    </w:p>
    <w:p>
      <w:pPr>
        <w:pStyle w:val="Heading2"/>
      </w:pPr>
      <w:r>
        <w:t>报名说明</w:t>
      </w:r>
    </w:p>
    <w:p>
      <w:r>
        <w:t>参赛题目为本届大赛指定比赛题目，不允许自选题目。赛队名称自拟，不得含有不文明语言，需要避开学校名称或其他可以识别学校信息的字眼。</w:t>
      </w:r>
    </w:p>
    <w:p>
      <w:pPr>
        <w:pStyle w:val="Heading2"/>
      </w:pPr>
      <w:r>
        <w:t>报名费用</w:t>
      </w:r>
    </w:p>
    <w:p>
      <w:r>
        <w:t>本次大赛无需缴纳报名费，大赛为面向在校大学生的公益性赛事，全程不以任何名义收取参赛队伍任何费用，总决赛期间差旅食宿自理。</w:t>
      </w:r>
    </w:p>
    <w:p>
      <w:r>
        <w:br w:type="page"/>
      </w:r>
    </w:p>
    <w:p>
      <w:pPr>
        <w:pStyle w:val="Heading1"/>
      </w:pPr>
      <w:r>
        <w:t>三、赛制流程</w:t>
      </w:r>
    </w:p>
    <w:p>
      <w:pPr>
        <w:pStyle w:val="Heading2"/>
      </w:pPr>
      <w:r>
        <w:t>赛制结构</w:t>
      </w:r>
    </w:p>
    <w:p>
      <w:r>
        <w:t>大赛分6大区域赛（东北、华北、华东、华南、西北、西南）和全国赛两级赛制，区域赛含初赛、复赛、决赛，全国赛含复赛、决赛。</w:t>
      </w:r>
    </w:p>
    <w:p>
      <w:pPr>
        <w:pStyle w:val="Heading2"/>
      </w:pPr>
      <w:r>
        <w:t>晋级规则</w:t>
      </w:r>
    </w:p>
    <w:p>
      <w:r>
        <w:t>区域赛复赛排名前25%的作品入围全国赛复赛，前3%的作品直推全国赛决赛。全国赛决赛采用线下答辩演示形式。</w:t>
      </w:r>
    </w:p>
    <w:p>
      <w:pPr>
        <w:pStyle w:val="Heading2"/>
      </w:pPr>
      <w:r>
        <w:t>报名与区域赛初赛</w:t>
      </w:r>
    </w:p>
    <w:p>
      <w:r>
        <w:t>时间：2025年12月2日10:00 - 2026年2月2日18:00</w:t>
      </w:r>
    </w:p>
    <w:p>
      <w:r>
        <w:t>官网报名系统开放，提交区域赛初赛作品</w:t>
      </w:r>
    </w:p>
    <w:p>
      <w:pPr>
        <w:pStyle w:val="Heading2"/>
      </w:pPr>
      <w:r>
        <w:t>区域赛阶段</w:t>
      </w:r>
    </w:p>
    <w:p>
      <w:r>
        <w:t>时间：2026年2月3日 - 2026年4月20日</w:t>
      </w:r>
    </w:p>
    <w:p>
      <w:r>
        <w:t>区域赛初赛、复赛、决赛作品提交与评审</w:t>
      </w:r>
    </w:p>
    <w:p>
      <w:pPr>
        <w:pStyle w:val="Heading2"/>
      </w:pPr>
      <w:r>
        <w:t>全国赛复赛</w:t>
      </w:r>
    </w:p>
    <w:p>
      <w:r>
        <w:t>时间：2026年4月21日 - 2026年4月30日</w:t>
      </w:r>
    </w:p>
    <w:p>
      <w:r>
        <w:t>全国赛复赛作品提交（截止时间4月23日18:00）</w:t>
      </w:r>
    </w:p>
    <w:p>
      <w:pPr>
        <w:pStyle w:val="Heading2"/>
      </w:pPr>
      <w:r>
        <w:t>全国赛决赛</w:t>
      </w:r>
    </w:p>
    <w:p>
      <w:r>
        <w:t>时间：2026年5月30日 - 2026年5月31日</w:t>
      </w:r>
    </w:p>
    <w:p>
      <w:r>
        <w:t>全国赛决赛作品答辩及演示环节，颁奖仪式</w:t>
      </w:r>
    </w:p>
    <w:p>
      <w:r>
        <w:br w:type="page"/>
      </w:r>
    </w:p>
    <w:p>
      <w:pPr>
        <w:pStyle w:val="Heading1"/>
      </w:pPr>
      <w:r>
        <w:t>四、评审标准</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评审维度</w:t>
            </w:r>
          </w:p>
        </w:tc>
        <w:tc>
          <w:tcPr>
            <w:tcW w:type="dxa" w:w="2160"/>
          </w:tcPr>
          <w:p>
            <w:r>
              <w:t>权重</w:t>
            </w:r>
          </w:p>
        </w:tc>
        <w:tc>
          <w:tcPr>
            <w:tcW w:type="dxa" w:w="2160"/>
          </w:tcPr>
          <w:p>
            <w:r>
              <w:t>核心考察点</w:t>
            </w:r>
          </w:p>
        </w:tc>
        <w:tc>
          <w:tcPr>
            <w:tcW w:type="dxa" w:w="2160"/>
          </w:tcPr>
          <w:p>
            <w:r>
              <w:t>备赛建议</w:t>
            </w:r>
          </w:p>
        </w:tc>
      </w:tr>
      <w:tr>
        <w:tc>
          <w:tcPr>
            <w:tcW w:type="dxa" w:w="2160"/>
          </w:tcPr>
          <w:p>
            <w:r>
              <w:t>创新性</w:t>
            </w:r>
          </w:p>
        </w:tc>
        <w:tc>
          <w:tcPr>
            <w:tcW w:type="dxa" w:w="2160"/>
          </w:tcPr>
          <w:p>
            <w:r>
              <w:t>30%</w:t>
            </w:r>
          </w:p>
        </w:tc>
        <w:tc>
          <w:tcPr>
            <w:tcW w:type="dxa" w:w="2160"/>
          </w:tcPr>
          <w:p>
            <w:r>
              <w:t>原创性、技术/模式/应用创新程度、与现有方案差异</w:t>
            </w:r>
          </w:p>
        </w:tc>
        <w:tc>
          <w:tcPr>
            <w:tcW w:type="dxa" w:w="2160"/>
          </w:tcPr>
          <w:p>
            <w:r>
              <w:t>深挖一点，做到极致。避免大而泛，找一个精准的切入点进行深度创新</w:t>
            </w:r>
          </w:p>
        </w:tc>
      </w:tr>
      <w:tr>
        <w:tc>
          <w:tcPr>
            <w:tcW w:type="dxa" w:w="2160"/>
          </w:tcPr>
          <w:p>
            <w:r>
              <w:t>技术难度与实现</w:t>
            </w:r>
          </w:p>
        </w:tc>
        <w:tc>
          <w:tcPr>
            <w:tcW w:type="dxa" w:w="2160"/>
          </w:tcPr>
          <w:p>
            <w:r>
              <w:t>25%</w:t>
            </w:r>
          </w:p>
        </w:tc>
        <w:tc>
          <w:tcPr>
            <w:tcW w:type="dxa" w:w="2160"/>
          </w:tcPr>
          <w:p>
            <w:r>
              <w:t>架构设计合理性、代码质量、技术选型先进性、功能完整性</w:t>
            </w:r>
          </w:p>
        </w:tc>
        <w:tc>
          <w:tcPr>
            <w:tcW w:type="dxa" w:w="2160"/>
          </w:tcPr>
          <w:p>
            <w:r>
              <w:t>技术文档、架构图要专业。代码注释清晰，使用主流技术栈。能处理一定规模的数据或并发。</w:t>
            </w:r>
          </w:p>
        </w:tc>
      </w:tr>
      <w:tr>
        <w:tc>
          <w:tcPr>
            <w:tcW w:type="dxa" w:w="2160"/>
          </w:tcPr>
          <w:p>
            <w:r>
              <w:t>应用价值与前景</w:t>
            </w:r>
          </w:p>
        </w:tc>
        <w:tc>
          <w:tcPr>
            <w:tcW w:type="dxa" w:w="2160"/>
          </w:tcPr>
          <w:p>
            <w:r>
              <w:t>25%</w:t>
            </w:r>
          </w:p>
        </w:tc>
        <w:tc>
          <w:tcPr>
            <w:tcW w:type="dxa" w:w="2160"/>
          </w:tcPr>
          <w:p>
            <w:r>
              <w:t>市场需求、社会效益、商业模式可行性、可推广性</w:t>
            </w:r>
          </w:p>
        </w:tc>
        <w:tc>
          <w:tcPr>
            <w:tcW w:type="dxa" w:w="2160"/>
          </w:tcPr>
          <w:p>
            <w:r>
              <w:t>做用户调研！有数据或案例支撑其价值。思考清晰的落地场景和用户群。</w:t>
            </w:r>
          </w:p>
        </w:tc>
      </w:tr>
      <w:tr>
        <w:tc>
          <w:tcPr>
            <w:tcW w:type="dxa" w:w="2160"/>
          </w:tcPr>
          <w:p>
            <w:r>
              <w:t>现场表现</w:t>
            </w:r>
          </w:p>
        </w:tc>
        <w:tc>
          <w:tcPr>
            <w:tcW w:type="dxa" w:w="2160"/>
          </w:tcPr>
          <w:p>
            <w:r>
              <w:t>20%</w:t>
            </w:r>
          </w:p>
        </w:tc>
        <w:tc>
          <w:tcPr>
            <w:tcW w:type="dxa" w:w="2160"/>
          </w:tcPr>
          <w:p>
            <w:r>
              <w:t>演示流畅度、答辩逻辑、团队协作、精神风貌</w:t>
            </w:r>
          </w:p>
        </w:tc>
        <w:tc>
          <w:tcPr>
            <w:tcW w:type="dxa" w:w="2160"/>
          </w:tcPr>
          <w:p>
            <w:r>
              <w:t>演示是生命线！准备一个"无懈可击"的演示脚本。回答问题自信、准确、有礼貌。</w:t>
            </w:r>
          </w:p>
        </w:tc>
      </w:tr>
    </w:tbl>
    <w:p>
      <w:r>
        <w:br w:type="page"/>
      </w:r>
    </w:p>
    <w:p>
      <w:pPr>
        <w:pStyle w:val="Heading1"/>
      </w:pPr>
      <w:r>
        <w:t>五、奖项设置</w:t>
      </w:r>
    </w:p>
    <w:p>
      <w:pPr>
        <w:pStyle w:val="Heading2"/>
      </w:pPr>
      <w:r>
        <w:t>5.1 全国赛奖项</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奖项</w:t>
            </w:r>
          </w:p>
        </w:tc>
        <w:tc>
          <w:tcPr>
            <w:tcW w:type="dxa" w:w="2880"/>
          </w:tcPr>
          <w:p>
            <w:r>
              <w:t>数量</w:t>
            </w:r>
          </w:p>
        </w:tc>
        <w:tc>
          <w:tcPr>
            <w:tcW w:type="dxa" w:w="2880"/>
          </w:tcPr>
          <w:p>
            <w:r>
              <w:t>奖励</w:t>
            </w:r>
          </w:p>
        </w:tc>
      </w:tr>
      <w:tr>
        <w:tc>
          <w:tcPr>
            <w:tcW w:type="dxa" w:w="2880"/>
          </w:tcPr>
          <w:p>
            <w:r>
              <w:t>一等奖</w:t>
            </w:r>
          </w:p>
        </w:tc>
        <w:tc>
          <w:tcPr>
            <w:tcW w:type="dxa" w:w="2880"/>
          </w:tcPr>
          <w:p>
            <w:r>
              <w:t>15项</w:t>
            </w:r>
          </w:p>
        </w:tc>
        <w:tc>
          <w:tcPr>
            <w:tcW w:type="dxa" w:w="2880"/>
          </w:tcPr>
          <w:p>
            <w:r>
              <w:t>奖金1.5万元/项，颁发证书</w:t>
            </w:r>
          </w:p>
        </w:tc>
      </w:tr>
      <w:tr>
        <w:tc>
          <w:tcPr>
            <w:tcW w:type="dxa" w:w="2880"/>
          </w:tcPr>
          <w:p>
            <w:r>
              <w:t>二等奖</w:t>
            </w:r>
          </w:p>
        </w:tc>
        <w:tc>
          <w:tcPr>
            <w:tcW w:type="dxa" w:w="2880"/>
          </w:tcPr>
          <w:p>
            <w:r>
              <w:t>30项</w:t>
            </w:r>
          </w:p>
        </w:tc>
        <w:tc>
          <w:tcPr>
            <w:tcW w:type="dxa" w:w="2880"/>
          </w:tcPr>
          <w:p>
            <w:r>
              <w:t>奖金7000元/项，颁发证书</w:t>
            </w:r>
          </w:p>
        </w:tc>
      </w:tr>
      <w:tr>
        <w:tc>
          <w:tcPr>
            <w:tcW w:type="dxa" w:w="2880"/>
          </w:tcPr>
          <w:p>
            <w:r>
              <w:t>三等奖</w:t>
            </w:r>
          </w:p>
        </w:tc>
        <w:tc>
          <w:tcPr>
            <w:tcW w:type="dxa" w:w="2880"/>
          </w:tcPr>
          <w:p>
            <w:r>
              <w:t>不少于55项</w:t>
            </w:r>
          </w:p>
        </w:tc>
        <w:tc>
          <w:tcPr>
            <w:tcW w:type="dxa" w:w="2880"/>
          </w:tcPr>
          <w:p>
            <w:r>
              <w:t>颁发证书</w:t>
            </w:r>
          </w:p>
        </w:tc>
      </w:tr>
      <w:tr>
        <w:tc>
          <w:tcPr>
            <w:tcW w:type="dxa" w:w="2880"/>
          </w:tcPr>
          <w:p>
            <w:r>
              <w:t>最佳新人奖</w:t>
            </w:r>
          </w:p>
        </w:tc>
        <w:tc>
          <w:tcPr>
            <w:tcW w:type="dxa" w:w="2880"/>
          </w:tcPr>
          <w:p>
            <w:r>
              <w:t>1项</w:t>
            </w:r>
          </w:p>
        </w:tc>
        <w:tc>
          <w:tcPr>
            <w:tcW w:type="dxa" w:w="2880"/>
          </w:tcPr>
          <w:p>
            <w:r>
              <w:t>颁发证书</w:t>
            </w:r>
          </w:p>
        </w:tc>
      </w:tr>
    </w:tbl>
    <w:p/>
    <w:p>
      <w:pPr>
        <w:pStyle w:val="Heading2"/>
      </w:pPr>
      <w:r>
        <w:t>5.2 指导教师奖项</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奖项</w:t>
            </w:r>
          </w:p>
        </w:tc>
        <w:tc>
          <w:tcPr>
            <w:tcW w:type="dxa" w:w="2880"/>
          </w:tcPr>
          <w:p>
            <w:r>
              <w:t>数量</w:t>
            </w:r>
          </w:p>
        </w:tc>
        <w:tc>
          <w:tcPr>
            <w:tcW w:type="dxa" w:w="2880"/>
          </w:tcPr>
          <w:p>
            <w:r>
              <w:t>奖励</w:t>
            </w:r>
          </w:p>
        </w:tc>
      </w:tr>
      <w:tr>
        <w:tc>
          <w:tcPr>
            <w:tcW w:type="dxa" w:w="2880"/>
          </w:tcPr>
          <w:p>
            <w:r>
              <w:t>一等奖指导教师</w:t>
            </w:r>
          </w:p>
        </w:tc>
        <w:tc>
          <w:tcPr>
            <w:tcW w:type="dxa" w:w="2880"/>
          </w:tcPr>
          <w:p>
            <w:r>
              <w:t>15项</w:t>
            </w:r>
          </w:p>
        </w:tc>
        <w:tc>
          <w:tcPr>
            <w:tcW w:type="dxa" w:w="2880"/>
          </w:tcPr>
          <w:p>
            <w:r>
              <w:t>奖金5000元/项，颁发证书</w:t>
            </w:r>
          </w:p>
        </w:tc>
      </w:tr>
      <w:tr>
        <w:tc>
          <w:tcPr>
            <w:tcW w:type="dxa" w:w="2880"/>
          </w:tcPr>
          <w:p>
            <w:r>
              <w:t>二等奖指导教师</w:t>
            </w:r>
          </w:p>
        </w:tc>
        <w:tc>
          <w:tcPr>
            <w:tcW w:type="dxa" w:w="2880"/>
          </w:tcPr>
          <w:p>
            <w:r>
              <w:t>30项</w:t>
            </w:r>
          </w:p>
        </w:tc>
        <w:tc>
          <w:tcPr>
            <w:tcW w:type="dxa" w:w="2880"/>
          </w:tcPr>
          <w:p>
            <w:r>
              <w:t>奖金3000元/项，颁发证书</w:t>
            </w:r>
          </w:p>
        </w:tc>
      </w:tr>
      <w:tr>
        <w:tc>
          <w:tcPr>
            <w:tcW w:type="dxa" w:w="2880"/>
          </w:tcPr>
          <w:p>
            <w:r>
              <w:t>三等奖指导教师</w:t>
            </w:r>
          </w:p>
        </w:tc>
        <w:tc>
          <w:tcPr>
            <w:tcW w:type="dxa" w:w="2880"/>
          </w:tcPr>
          <w:p>
            <w:r>
              <w:t>不少于55项</w:t>
            </w:r>
          </w:p>
        </w:tc>
        <w:tc>
          <w:tcPr>
            <w:tcW w:type="dxa" w:w="2880"/>
          </w:tcPr>
          <w:p>
            <w:r>
              <w:t>颁发证书</w:t>
            </w:r>
          </w:p>
        </w:tc>
      </w:tr>
    </w:tbl>
    <w:p/>
    <w:p>
      <w:pPr>
        <w:pStyle w:val="Heading2"/>
      </w:pPr>
      <w:r>
        <w:t>5.3 区域赛奖项</w:t>
      </w:r>
    </w:p>
    <w:tbl>
      <w:tblPr>
        <w:tblStyle w:val="LightGrid-Accent1"/>
        <w:tblW w:type="auto" w:w="0"/>
        <w:tblLook w:firstColumn="1" w:firstRow="1" w:lastColumn="0" w:lastRow="0" w:noHBand="0" w:noVBand="1" w:val="04A0"/>
      </w:tblPr>
      <w:tblGrid>
        <w:gridCol w:w="4320"/>
        <w:gridCol w:w="4320"/>
      </w:tblGrid>
      <w:tr>
        <w:tc>
          <w:tcPr>
            <w:tcW w:type="dxa" w:w="4320"/>
          </w:tcPr>
          <w:p>
            <w:r>
              <w:t>奖项</w:t>
            </w:r>
          </w:p>
        </w:tc>
        <w:tc>
          <w:tcPr>
            <w:tcW w:type="dxa" w:w="4320"/>
          </w:tcPr>
          <w:p>
            <w:r>
              <w:t>获奖比例</w:t>
            </w:r>
          </w:p>
        </w:tc>
      </w:tr>
      <w:tr>
        <w:tc>
          <w:tcPr>
            <w:tcW w:type="dxa" w:w="4320"/>
          </w:tcPr>
          <w:p>
            <w:r>
              <w:t>一等奖</w:t>
            </w:r>
          </w:p>
        </w:tc>
        <w:tc>
          <w:tcPr>
            <w:tcW w:type="dxa" w:w="4320"/>
          </w:tcPr>
          <w:p>
            <w:r>
              <w:t>不超过各区域提交作品数量的10%</w:t>
            </w:r>
          </w:p>
        </w:tc>
      </w:tr>
      <w:tr>
        <w:tc>
          <w:tcPr>
            <w:tcW w:type="dxa" w:w="4320"/>
          </w:tcPr>
          <w:p>
            <w:r>
              <w:t>二等奖</w:t>
            </w:r>
          </w:p>
        </w:tc>
        <w:tc>
          <w:tcPr>
            <w:tcW w:type="dxa" w:w="4320"/>
          </w:tcPr>
          <w:p>
            <w:r>
              <w:t>不超过各区域提交作品数量的15%</w:t>
            </w:r>
          </w:p>
        </w:tc>
      </w:tr>
      <w:tr>
        <w:tc>
          <w:tcPr>
            <w:tcW w:type="dxa" w:w="4320"/>
          </w:tcPr>
          <w:p>
            <w:r>
              <w:t>三等奖</w:t>
            </w:r>
          </w:p>
        </w:tc>
        <w:tc>
          <w:tcPr>
            <w:tcW w:type="dxa" w:w="4320"/>
          </w:tcPr>
          <w:p>
            <w:r>
              <w:t>不超过各区域提交作品数量的25%</w:t>
            </w:r>
          </w:p>
        </w:tc>
      </w:tr>
    </w:tbl>
    <w:p>
      <w:r>
        <w:br w:type="page"/>
      </w:r>
    </w:p>
    <w:p>
      <w:pPr>
        <w:pStyle w:val="Heading1"/>
      </w:pPr>
      <w:r>
        <w:t>六、比赛时间线</w:t>
      </w:r>
    </w:p>
    <w:tbl>
      <w:tblPr>
        <w:tblStyle w:val="LightGrid-Accent1"/>
        <w:tblW w:type="auto" w:w="0"/>
        <w:tblLook w:firstColumn="1" w:firstRow="1" w:lastColumn="0" w:lastRow="0" w:noHBand="0" w:noVBand="1" w:val="04A0"/>
      </w:tblPr>
      <w:tblGrid>
        <w:gridCol w:w="4320"/>
        <w:gridCol w:w="4320"/>
      </w:tblGrid>
      <w:tr>
        <w:tc>
          <w:tcPr>
            <w:tcW w:type="dxa" w:w="4320"/>
          </w:tcPr>
          <w:p>
            <w:r>
              <w:t>日期</w:t>
            </w:r>
          </w:p>
        </w:tc>
        <w:tc>
          <w:tcPr>
            <w:tcW w:type="dxa" w:w="4320"/>
          </w:tcPr>
          <w:p>
            <w:r>
              <w:t>事件</w:t>
            </w:r>
          </w:p>
        </w:tc>
      </w:tr>
      <w:tr>
        <w:tc>
          <w:tcPr>
            <w:tcW w:type="dxa" w:w="4320"/>
          </w:tcPr>
          <w:p>
            <w:r>
              <w:t>2025年12月2日</w:t>
            </w:r>
          </w:p>
        </w:tc>
        <w:tc>
          <w:tcPr>
            <w:tcW w:type="dxa" w:w="4320"/>
          </w:tcPr>
          <w:p>
            <w:r>
              <w:t>大赛官网报名系统开放</w:t>
            </w:r>
          </w:p>
        </w:tc>
      </w:tr>
      <w:tr>
        <w:tc>
          <w:tcPr>
            <w:tcW w:type="dxa" w:w="4320"/>
          </w:tcPr>
          <w:p>
            <w:r>
              <w:t>2026年2月2日</w:t>
            </w:r>
          </w:p>
        </w:tc>
        <w:tc>
          <w:tcPr>
            <w:tcW w:type="dxa" w:w="4320"/>
          </w:tcPr>
          <w:p>
            <w:r>
              <w:t>报名及区域赛初赛作品提交截止</w:t>
            </w:r>
          </w:p>
        </w:tc>
      </w:tr>
      <w:tr>
        <w:tc>
          <w:tcPr>
            <w:tcW w:type="dxa" w:w="4320"/>
          </w:tcPr>
          <w:p>
            <w:r>
              <w:t>2026年2月3日</w:t>
            </w:r>
          </w:p>
        </w:tc>
        <w:tc>
          <w:tcPr>
            <w:tcW w:type="dxa" w:w="4320"/>
          </w:tcPr>
          <w:p>
            <w:r>
              <w:t>区域赛阶段开始</w:t>
            </w:r>
          </w:p>
        </w:tc>
      </w:tr>
      <w:tr>
        <w:tc>
          <w:tcPr>
            <w:tcW w:type="dxa" w:w="4320"/>
          </w:tcPr>
          <w:p>
            <w:r>
              <w:t>2026年4月20日</w:t>
            </w:r>
          </w:p>
        </w:tc>
        <w:tc>
          <w:tcPr>
            <w:tcW w:type="dxa" w:w="4320"/>
          </w:tcPr>
          <w:p>
            <w:r>
              <w:t>公布进入全国赛复赛的参赛名单</w:t>
            </w:r>
          </w:p>
        </w:tc>
      </w:tr>
      <w:tr>
        <w:tc>
          <w:tcPr>
            <w:tcW w:type="dxa" w:w="4320"/>
          </w:tcPr>
          <w:p>
            <w:r>
              <w:t>2026年4月23日</w:t>
            </w:r>
          </w:p>
        </w:tc>
        <w:tc>
          <w:tcPr>
            <w:tcW w:type="dxa" w:w="4320"/>
          </w:tcPr>
          <w:p>
            <w:r>
              <w:t>全国赛复赛作品提交截止</w:t>
            </w:r>
          </w:p>
        </w:tc>
      </w:tr>
      <w:tr>
        <w:tc>
          <w:tcPr>
            <w:tcW w:type="dxa" w:w="4320"/>
          </w:tcPr>
          <w:p>
            <w:r>
              <w:t>2026年4月30日</w:t>
            </w:r>
          </w:p>
        </w:tc>
        <w:tc>
          <w:tcPr>
            <w:tcW w:type="dxa" w:w="4320"/>
          </w:tcPr>
          <w:p>
            <w:r>
              <w:t>公布进入全国决赛的参赛名单</w:t>
            </w:r>
          </w:p>
        </w:tc>
      </w:tr>
      <w:tr>
        <w:tc>
          <w:tcPr>
            <w:tcW w:type="dxa" w:w="4320"/>
          </w:tcPr>
          <w:p>
            <w:r>
              <w:t>2026年5月28日</w:t>
            </w:r>
          </w:p>
        </w:tc>
        <w:tc>
          <w:tcPr>
            <w:tcW w:type="dxa" w:w="4320"/>
          </w:tcPr>
          <w:p>
            <w:r>
              <w:t>全国赛决赛作品提交截止</w:t>
            </w:r>
          </w:p>
        </w:tc>
      </w:tr>
      <w:tr>
        <w:tc>
          <w:tcPr>
            <w:tcW w:type="dxa" w:w="4320"/>
          </w:tcPr>
          <w:p>
            <w:r>
              <w:t>2026年5月30-31日</w:t>
            </w:r>
          </w:p>
        </w:tc>
        <w:tc>
          <w:tcPr>
            <w:tcW w:type="dxa" w:w="4320"/>
          </w:tcPr>
          <w:p>
            <w:r>
              <w:t>全国赛决赛与颁奖典礼</w:t>
            </w:r>
          </w:p>
        </w:tc>
      </w:tr>
    </w:tbl>
    <w:p>
      <w:r>
        <w:br w:type="page"/>
      </w:r>
    </w:p>
    <w:p>
      <w:pPr>
        <w:pStyle w:val="Heading1"/>
      </w:pPr>
      <w:r>
        <w:t>七、重要日期</w:t>
      </w:r>
    </w:p>
    <w:tbl>
      <w:tblPr>
        <w:tblStyle w:val="LightGrid-Accent1"/>
        <w:tblW w:type="auto" w:w="0"/>
        <w:tblLook w:firstColumn="1" w:firstRow="1" w:lastColumn="0" w:lastRow="0" w:noHBand="0" w:noVBand="1" w:val="04A0"/>
      </w:tblPr>
      <w:tblGrid>
        <w:gridCol w:w="4320"/>
        <w:gridCol w:w="4320"/>
      </w:tblGrid>
      <w:tr>
        <w:tc>
          <w:tcPr>
            <w:tcW w:type="dxa" w:w="4320"/>
          </w:tcPr>
          <w:p>
            <w:r>
              <w:t>事项</w:t>
            </w:r>
          </w:p>
        </w:tc>
        <w:tc>
          <w:tcPr>
            <w:tcW w:type="dxa" w:w="4320"/>
          </w:tcPr>
          <w:p>
            <w:r>
              <w:t>日期/时间</w:t>
            </w:r>
          </w:p>
        </w:tc>
      </w:tr>
      <w:tr>
        <w:tc>
          <w:tcPr>
            <w:tcW w:type="dxa" w:w="4320"/>
          </w:tcPr>
          <w:p>
            <w:r>
              <w:t>报名开始时间</w:t>
            </w:r>
          </w:p>
        </w:tc>
        <w:tc>
          <w:tcPr>
            <w:tcW w:type="dxa" w:w="4320"/>
          </w:tcPr>
          <w:p>
            <w:r>
              <w:t>2025年12月2日 10:00</w:t>
            </w:r>
          </w:p>
        </w:tc>
      </w:tr>
      <w:tr>
        <w:tc>
          <w:tcPr>
            <w:tcW w:type="dxa" w:w="4320"/>
          </w:tcPr>
          <w:p>
            <w:r>
              <w:t>报名截止时间</w:t>
            </w:r>
          </w:p>
        </w:tc>
        <w:tc>
          <w:tcPr>
            <w:tcW w:type="dxa" w:w="4320"/>
          </w:tcPr>
          <w:p>
            <w:r>
              <w:t>2026年2月2日 18:00</w:t>
            </w:r>
          </w:p>
        </w:tc>
      </w:tr>
      <w:tr>
        <w:tc>
          <w:tcPr>
            <w:tcW w:type="dxa" w:w="4320"/>
          </w:tcPr>
          <w:p>
            <w:r>
              <w:t>区域赛初赛作品提交截止</w:t>
            </w:r>
          </w:p>
        </w:tc>
        <w:tc>
          <w:tcPr>
            <w:tcW w:type="dxa" w:w="4320"/>
          </w:tcPr>
          <w:p>
            <w:r>
              <w:t>2026年2月2日 18:00</w:t>
            </w:r>
          </w:p>
        </w:tc>
      </w:tr>
      <w:tr>
        <w:tc>
          <w:tcPr>
            <w:tcW w:type="dxa" w:w="4320"/>
          </w:tcPr>
          <w:p>
            <w:r>
              <w:t>区域赛阶段</w:t>
            </w:r>
          </w:p>
        </w:tc>
        <w:tc>
          <w:tcPr>
            <w:tcW w:type="dxa" w:w="4320"/>
          </w:tcPr>
          <w:p>
            <w:r>
              <w:t>2026年2月3日 - 2026年4月20日</w:t>
            </w:r>
          </w:p>
        </w:tc>
      </w:tr>
      <w:tr>
        <w:tc>
          <w:tcPr>
            <w:tcW w:type="dxa" w:w="4320"/>
          </w:tcPr>
          <w:p>
            <w:r>
              <w:t>全国赛复赛作品提交截止</w:t>
            </w:r>
          </w:p>
        </w:tc>
        <w:tc>
          <w:tcPr>
            <w:tcW w:type="dxa" w:w="4320"/>
          </w:tcPr>
          <w:p>
            <w:r>
              <w:t>2026年4月23日 18:00</w:t>
            </w:r>
          </w:p>
        </w:tc>
      </w:tr>
      <w:tr>
        <w:tc>
          <w:tcPr>
            <w:tcW w:type="dxa" w:w="4320"/>
          </w:tcPr>
          <w:p>
            <w:r>
              <w:t>全国赛决赛作品提交截止</w:t>
            </w:r>
          </w:p>
        </w:tc>
        <w:tc>
          <w:tcPr>
            <w:tcW w:type="dxa" w:w="4320"/>
          </w:tcPr>
          <w:p>
            <w:r>
              <w:t>2026年5月28日 18:00</w:t>
            </w:r>
          </w:p>
        </w:tc>
      </w:tr>
      <w:tr>
        <w:tc>
          <w:tcPr>
            <w:tcW w:type="dxa" w:w="4320"/>
          </w:tcPr>
          <w:p>
            <w:r>
              <w:t>全国赛决赛</w:t>
            </w:r>
          </w:p>
        </w:tc>
        <w:tc>
          <w:tcPr>
            <w:tcW w:type="dxa" w:w="4320"/>
          </w:tcPr>
          <w:p>
            <w:r>
              <w:t>2026年5月30日 - 2026年5月31日</w:t>
            </w:r>
          </w:p>
        </w:tc>
      </w:tr>
    </w:tbl>
    <w:p>
      <w:r>
        <w:br w:type="page"/>
      </w:r>
    </w:p>
    <w:p>
      <w:pPr>
        <w:pStyle w:val="Heading1"/>
      </w:pPr>
      <w:r>
        <w:t>八、官方链接</w:t>
      </w:r>
    </w:p>
    <w:p>
      <w:r>
        <w:t>大赛官方网站：https://www.swcontest.com.cn</w:t>
      </w:r>
    </w:p>
    <w:p>
      <w:r>
        <w:t>示范性软件学院联盟官网：https://www.pses.com.cn</w:t>
      </w:r>
    </w:p>
    <w:p>
      <w:r>
        <w:t>大赛微信公众号：SWContest</w:t>
      </w:r>
    </w:p>
    <w:p>
      <w:r>
        <w:t>官方QQ群：631269390</w:t>
      </w:r>
    </w:p>
    <w:p>
      <w:r>
        <w:br w:type="page"/>
      </w:r>
    </w:p>
    <w:p>
      <w:pPr>
        <w:pStyle w:val="Heading1"/>
      </w:pPr>
      <w:r>
        <w:t>九、数据来源说明</w:t>
      </w:r>
    </w:p>
    <w:p>
      <w:r>
        <w:t>本数据基于第十九届全国大学生软件创新大赛官方通知及多所高校发布的参赛通知整理，主要信息来源包括：</w:t>
      </w:r>
    </w:p>
    <w:p>
      <w:r>
        <w:t>1. 全国大学生软件创新大赛官方网站（www.swcontest.com.cn）</w:t>
      </w:r>
    </w:p>
    <w:p>
      <w:r>
        <w:t>2. 示范性软件学院联盟官网（www.pses.com.cn）</w:t>
      </w:r>
    </w:p>
    <w:p>
      <w:r>
        <w:t>3. 西北工业大学、天津大学、大连理工大学、西安电子科技大学等高校官方通知</w:t>
      </w:r>
    </w:p>
    <w:p>
      <w:r>
        <w:t>4. 长江大学、云南大学等高校发布的参赛组织通知</w:t>
      </w:r>
    </w:p>
    <w:p/>
    <w:p>
      <w:r>
        <w:t>注意：具体参赛要求以大赛官网最新通知为准。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