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WUPENiCity 城市设计学生作业国际竞赛</w:t>
      </w:r>
    </w:p>
    <w:p/>
    <w:p>
      <w:pPr>
        <w:pStyle w:val="Heading2"/>
      </w:pPr>
      <w:r>
        <w:t>主办单位</w:t>
      </w:r>
    </w:p>
    <w:p>
      <w:r>
        <w:t>世界规划教育组织 (WUPEN)</w:t>
      </w:r>
    </w:p>
    <w:p/>
    <w:p>
      <w:pPr>
        <w:pStyle w:val="Heading2"/>
      </w:pPr>
      <w:r>
        <w:t>参赛对象</w:t>
      </w:r>
    </w:p>
    <w:p>
      <w:r>
        <w:t>全球高校城市规划、建筑学、风景园林等相关专业在校学生</w:t>
      </w:r>
    </w:p>
    <w:p/>
    <w:p>
      <w:pPr>
        <w:pStyle w:val="Heading2"/>
      </w:pPr>
      <w:r>
        <w:t>作品要求</w:t>
      </w:r>
    </w:p>
    <w:p>
      <w:r>
        <w:t>- 展板数量：不超过4张A1图纸</w:t>
      </w:r>
    </w:p>
    <w:p>
      <w:r>
        <w:t>- 内容要求：需包含分析图、总平面图、效果图等</w:t>
      </w:r>
    </w:p>
    <w:p>
      <w:r>
        <w:t>- 提交格式：PDF/JPG</w:t>
      </w:r>
    </w:p>
    <w:p/>
    <w:p>
      <w:pPr>
        <w:pStyle w:val="Heading2"/>
      </w:pPr>
      <w:r>
        <w:t>评审标准</w:t>
      </w:r>
    </w:p>
    <w:p>
      <w:r>
        <w:t>- 创意性 (30%)</w:t>
      </w:r>
    </w:p>
    <w:p>
      <w:r>
        <w:t>- 技术性 (30%)</w:t>
      </w:r>
    </w:p>
    <w:p>
      <w:r>
        <w:t>- 表达性 (20%)</w:t>
      </w:r>
    </w:p>
    <w:p>
      <w:r>
        <w:t>- 完整性 (20%)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