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6"/>
          <w:szCs w:val="36"/>
        </w:rPr>
        <w:t xml:space="preserve">Fuzz Them All Project</w:t>
      </w:r>
    </w:p>
    <w:p>
      <w:pPr>
        <w:jc w:val="center"/>
      </w:pPr>
      <w:r>
        <w:rPr>
          <w:sz w:val="22"/>
          <w:szCs w:val="22"/>
        </w:rPr>
        <w:t xml:space="preserve">Name: Yeju Ham</w:t>
      </w:r>
    </w:p>
    <w:p>
      <w:pPr>
        <w:jc w:val="center"/>
      </w:pPr>
      <w:r>
        <w:rPr>
          <w:sz w:val="22"/>
          <w:szCs w:val="22"/>
        </w:rPr>
        <w:t xml:space="preserve">Course: CSE 543: Info Assurance &amp; Security</w:t>
      </w:r>
    </w:p>
    <w:p>
      <w:pPr>
        <w:spacing w:after="300"/>
        <w:jc w:val="center"/>
      </w:pPr>
      <w:r>
        <w:rPr>
          <w:sz w:val="22"/>
          <w:szCs w:val="22"/>
        </w:rPr>
        <w:t xml:space="preserve">Date: July 5, 2026</w:t>
      </w:r>
    </w:p>
    <w:p>
      <w:pPr>
        <w:pStyle w:val="Heading1"/>
        <w:spacing w:after="120" w:before="240"/>
      </w:pPr>
      <w:r>
        <w:t xml:space="preserve">1. Overview</w:t>
      </w:r>
    </w:p>
    <w:p>
      <w:pPr>
        <w:spacing w:after="120"/>
      </w:pPr>
      <w:r>
        <w:t xml:space="preserve">For this project I built a single mutation-based fuzzer and used it, unchanged, against all ten pwn.college levels. The idea was to keep the fuzzer itself completely blind to which level it was pointed at: it only ever sees a fixed seed file, a PRNG seed, and an iteration count. Before running it against a given level I did some quick static analysis (strings and objdump) just to get a rough sense of the input format, but that information never made its way into the fuzzer's code -- finding each crash came down to sweeping the two parameters until something broke.</w:t>
      </w:r>
    </w:p>
    <w:p>
      <w:pPr>
        <w:pStyle w:val="Heading1"/>
        <w:spacing w:after="120" w:before="240"/>
      </w:pPr>
      <w:r>
        <w:t xml:space="preserve">2. Dependencies</w:t>
      </w:r>
    </w:p>
    <w:p>
      <w:pPr>
        <w:spacing w:after="120"/>
      </w:pPr>
      <w:r>
        <w:t xml:space="preserve">The fuzzer itself has no dependencies beyond a standard Python 3 install -- everything it uses (random, sys, os) is part of the standard library, so there's nothing extra to install to run it.</w:t>
      </w:r>
    </w:p>
    <w:p>
      <w:pPr>
        <w:spacing w:after="120"/>
      </w:pPr>
      <w:r>
        <w:t xml:space="preserve">I also wrote a small harness (search.py) to automate the process of searching for crashing parameters. That script additionally relies on subprocess and signal, also both standard library, to launch the target and check whether it died from SIGSEGV/SIGILL. The harness is just a convenience tool for finding good (prng_seed, iterations) pairs -- it isn't needed to run the fuzzer or reproduce a crash once the parameters are known.</w:t>
      </w:r>
    </w:p>
    <w:p>
      <w:pPr>
        <w:pStyle w:val="Heading1"/>
        <w:spacing w:after="120" w:before="240"/>
      </w:pPr>
      <w:r>
        <w:t xml:space="preserve">3. Fuzzer Architecture</w:t>
      </w:r>
    </w:p>
    <w:p>
      <w:pPr>
        <w:spacing w:after="120"/>
      </w:pPr>
      <w:r>
        <w:t xml:space="preserve">The fuzzer is invoked exactly as required:</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20"/>
          <w:szCs w:val="20"/>
        </w:rPr>
        <w:t xml:space="preserve">./fuzzer &lt;prng_seed&gt; &lt;iterations&gt;</w:t>
      </w:r>
    </w:p>
    <w:p>
      <w:pPr>
        <w:spacing w:after="120"/>
      </w:pPr>
      <w:r>
        <w:t xml:space="preserve">It reads a fixed seed file (seed.bin) that sits next to the script -- a short, deliberately varied byte sequence: an ASCII number on the first line, then a mix of letters, digits, punctuation, and the full raw byte range (0x00-0xFF). That file is never touched or rewritten during a run.</w:t>
      </w:r>
    </w:p>
    <w:p>
      <w:pPr>
        <w:spacing w:after="120"/>
      </w:pPr>
      <w:r>
        <w:t xml:space="preserve">The prng_seed argument seeds Python's random.Random(), so the exact same sequence of mutation decisions gets replayed any time the same seed is used -- there's no dependence on the system clock or anything else non-reproducible. Starting from a copy of the seed bytes, the fuzzer then runs iterations rounds of mutation. Each round mutates roughly 13% of the bytes individually and, some of the time, also applies a structural change (insert, delete, or duplicate a chunk) so the input's length can drift up or down over the course of the run. Whatever comes out at the end is written straight to stdout as raw bytes -- nothing else gets printed, since any stray text would corrupt the generated input when it's piped into the target.</w:t>
      </w:r>
    </w:p>
    <w:p>
      <w:pPr>
        <w:pStyle w:val="Heading1"/>
        <w:spacing w:after="120" w:before="240"/>
      </w:pPr>
      <w:r>
        <w:t xml:space="preserve">4. Byte Mutation Strategies</w:t>
      </w:r>
    </w:p>
    <w:p>
      <w:pPr>
        <w:spacing w:after="120"/>
      </w:pPr>
      <w:r>
        <w:t xml:space="preserve">When a byte is picked for mutation, the fuzzer randomly chooses one of four ways to change it:</w:t>
      </w:r>
    </w:p>
    <w:p>
      <w:pPr>
        <w:pStyle w:val="ListParagraph"/>
        <w:numPr>
          <w:ilvl w:val="0"/>
          <w:numId w:val="1"/>
        </w:numPr>
        <w:spacing w:after="60"/>
      </w:pPr>
      <w:r>
        <w:t xml:space="preserve">replace it entirely with a new random byte,</w:t>
      </w:r>
    </w:p>
    <w:p>
      <w:pPr>
        <w:pStyle w:val="ListParagraph"/>
        <w:numPr>
          <w:ilvl w:val="0"/>
          <w:numId w:val="1"/>
        </w:numPr>
        <w:spacing w:after="60"/>
      </w:pPr>
      <w:r>
        <w:t xml:space="preserve">flip a single bit,</w:t>
      </w:r>
    </w:p>
    <w:p>
      <w:pPr>
        <w:pStyle w:val="ListParagraph"/>
        <w:numPr>
          <w:ilvl w:val="0"/>
          <w:numId w:val="1"/>
        </w:numPr>
        <w:spacing w:after="60"/>
      </w:pPr>
      <w:r>
        <w:t xml:space="preserve">nudge it by a random amount (mod 256), which tends to land near boundary values, or</w:t>
      </w:r>
    </w:p>
    <w:p>
      <w:pPr>
        <w:pStyle w:val="ListParagraph"/>
        <w:numPr>
          <w:ilvl w:val="0"/>
          <w:numId w:val="1"/>
        </w:numPr>
        <w:spacing w:after="60"/>
      </w:pPr>
      <w:r>
        <w:t xml:space="preserve">push it toward an extreme, 0x00 or 0xFF, which is handy for tripping integer/size checks.</w:t>
      </w:r>
    </w:p>
    <w:p>
      <w:pPr>
        <w:spacing w:after="120"/>
      </w:pPr>
      <w:r>
        <w:t xml:space="preserve">On top of the per-byte mutation, each round has some chance of inserting, deleting, or duplicating a chunk of bytes somewhere in the buffer. This turned out to matter a lot in practice -- every level I solved crashed because of a mismatch between a declared size and the actual number of bytes sent, so the fuzzer needed a way to grow the input well past the original 147-byte seed. Without those structural mutations, per-byte flips alone would never have produced an input long enough to overflow anything.</w:t>
      </w:r>
    </w:p>
    <w:p>
      <w:pPr>
        <w:pStyle w:val="Heading1"/>
        <w:spacing w:after="120" w:before="240"/>
      </w:pPr>
      <w:r>
        <w:t xml:space="preserve">5. Input Generation / Search Strategy</w:t>
      </w:r>
    </w:p>
    <w:p>
      <w:pPr>
        <w:spacing w:after="120"/>
      </w:pPr>
      <w:r>
        <w:t xml:space="preserve">Since the fuzzer has no idea which level it's running against, the actual search for a crash happened outside of it, by sweeping the two parameters it takes. I kept prng_seed fixed at a small value and swept iterations upward starting from 1, generating one candidate input per (prng_seed, iterations) pair and piping it into the target's stdin with a timeout so a hanging run wouldn't stall the search. As soon as a candidate made the target die from SIGSEGV or SIGILL, I saved that exact input as the level's .crash file along with the parameters that produced it.</w:t>
      </w:r>
    </w:p>
    <w:p>
      <w:pPr>
        <w:spacing w:after="120"/>
      </w:pPr>
      <w:r>
        <w:t xml:space="preserve">This search was automated with a short harness script (search.py) that calls the fuzzer, feeds its output to the target, and checks the exit signal. To be clear, the harness itself does no mutation -- it's just a loop around the fuzzer for convenience, and it isn't part of the submitted fuzzer executable.</w:t>
      </w:r>
    </w:p>
    <w:p>
      <w:pPr>
        <w:spacing w:after="120"/>
      </w:pPr>
      <w:r>
        <w:t xml:space="preserve">The static analysis (strings / objdump) at the start of each level was really just there to reassure myself that a size-field-plus-data kind of input made sense to search for; none of it got hardcoded into the fuzzer. As it turned out, all ten binaries shared essentially the same bug class -- a mismatch between a declared size (and in some levels an extra flag or per-element size field) and the number of bytes actually sent, which the program didn't bounds-check before copying into a fixed buffer. That's consistent with the fact that the same generic seed and a fairly small number of mutation rounds (never more than 64) was enough to crash every level I solved.</w:t>
      </w:r>
    </w:p>
    <w:p>
      <w:pPr>
        <w:pStyle w:val="Heading1"/>
        <w:spacing w:after="120" w:before="240"/>
      </w:pPr>
      <w:r>
        <w:t xml:space="preserve">6. Determinism Verification</w:t>
      </w:r>
    </w:p>
    <w:p>
      <w:pPr>
        <w:spacing w:after="120"/>
      </w:pPr>
      <w:r>
        <w:t xml:space="preserve">Before starting the search on each level, I checked that the fuzzer was actually deterministic by running the same parameters twice and comparing hashes:</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20"/>
          <w:szCs w:val="20"/>
        </w:rPr>
        <w:t xml:space="preserve">./fuzzer 42 5 | md5sum</w:t>
      </w:r>
      <w:r>
        <w:rPr>
          <w:rFonts w:ascii="Consolas" w:cs="Consolas" w:eastAsia="Consolas" w:hAnsi="Consolas"/>
          <w:sz w:val="20"/>
          <w:szCs w:val="20"/>
        </w:rPr>
        <w:br/>
        <w:t xml:space="preserve">./fuzzer 42 5 | md5sum</w:t>
      </w:r>
      <w:r>
        <w:rPr>
          <w:rFonts w:ascii="Consolas" w:cs="Consolas" w:eastAsia="Consolas" w:hAnsi="Consolas"/>
          <w:sz w:val="20"/>
          <w:szCs w:val="20"/>
        </w:rPr>
        <w:br/>
        <w:t xml:space="preserve"># same hash both times -&gt; good, it's deterministic</w:t>
      </w:r>
    </w:p>
    <w:p>
      <w:pPr>
        <w:spacing w:after="120"/>
      </w:pPr>
      <w:r>
        <w:t xml:space="preserve">For every crash the search found, I also regenerated the input from its (prng_seed, iterations) pair with diff against the saved .crash file to make sure the two were byte-for-byte identical, before finally running it through the official /challenge/challenge verifier to confirm the crash and collect the flag.</w:t>
      </w:r>
    </w:p>
    <w:p>
      <w:pPr>
        <w:pStyle w:val="Heading1"/>
        <w:spacing w:after="120" w:before="240"/>
      </w:pPr>
      <w:r>
        <w:t xml:space="preserve">7. Results Summary</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1800"/>
        <w:gridCol w:w="1800"/>
      </w:tblGrid>
      <w:tr>
        <w:trPr>
          <w:tblHeader/>
        </w:trPr>
        <w:tc>
          <w:tcPr>
            <w:tcW w:type="dxa" w:w="1400"/>
            <w:shd w:fill="4472C4" w:val="clear"/>
          </w:tcPr>
          <w:p>
            <w:pPr>
              <w:jc w:val="center"/>
            </w:pPr>
            <w:r>
              <w:rPr>
                <w:b/>
                <w:bCs/>
                <w:color w:val="FFFFFF"/>
              </w:rPr>
              <w:t xml:space="preserve">Level</w:t>
            </w:r>
          </w:p>
        </w:tc>
        <w:tc>
          <w:tcPr>
            <w:tcW w:type="dxa" w:w="1600"/>
            <w:shd w:fill="4472C4" w:val="clear"/>
          </w:tcPr>
          <w:p>
            <w:pPr>
              <w:jc w:val="center"/>
            </w:pPr>
            <w:r>
              <w:rPr>
                <w:b/>
                <w:bCs/>
                <w:color w:val="FFFFFF"/>
              </w:rPr>
              <w:t xml:space="preserve">prng_seed</w:t>
            </w:r>
          </w:p>
        </w:tc>
        <w:tc>
          <w:tcPr>
            <w:tcW w:type="dxa" w:w="1600"/>
            <w:shd w:fill="4472C4" w:val="clear"/>
          </w:tcPr>
          <w:p>
            <w:pPr>
              <w:jc w:val="center"/>
            </w:pPr>
            <w:r>
              <w:rPr>
                <w:b/>
                <w:bCs/>
                <w:color w:val="FFFFFF"/>
              </w:rPr>
              <w:t xml:space="preserve">iterations</w:t>
            </w:r>
          </w:p>
        </w:tc>
        <w:tc>
          <w:tcPr>
            <w:tcW w:type="dxa" w:w="1800"/>
            <w:shd w:fill="4472C4" w:val="clear"/>
          </w:tcPr>
          <w:p>
            <w:pPr>
              <w:jc w:val="center"/>
            </w:pPr>
            <w:r>
              <w:rPr>
                <w:b/>
                <w:bCs/>
                <w:color w:val="FFFFFF"/>
              </w:rPr>
              <w:t xml:space="preserve">Crash Input Size</w:t>
            </w:r>
          </w:p>
        </w:tc>
        <w:tc>
          <w:tcPr>
            <w:tcW w:type="dxa" w:w="1800"/>
            <w:shd w:fill="4472C4" w:val="clear"/>
          </w:tcPr>
          <w:p>
            <w:pPr>
              <w:jc w:val="center"/>
            </w:pPr>
            <w:r>
              <w:rPr>
                <w:b/>
                <w:bCs/>
                <w:color w:val="FFFFFF"/>
              </w:rPr>
              <w:t xml:space="preserve">Crash Signal</w:t>
            </w:r>
          </w:p>
        </w:tc>
      </w:tr>
      <w:tr>
        <w:tc>
          <w:tcPr>
            <w:tcW w:type="dxa" w:w="1400"/>
          </w:tcPr>
          <w:p>
            <w:pPr>
              <w:jc w:val="center"/>
            </w:pPr>
            <w:r>
              <w:t xml:space="preserve">1</w:t>
            </w:r>
          </w:p>
        </w:tc>
        <w:tc>
          <w:tcPr>
            <w:tcW w:type="dxa" w:w="1600"/>
          </w:tcPr>
          <w:p>
            <w:pPr>
              <w:jc w:val="center"/>
            </w:pPr>
            <w:r>
              <w:t xml:space="preserve">1</w:t>
            </w:r>
          </w:p>
        </w:tc>
        <w:tc>
          <w:tcPr>
            <w:tcW w:type="dxa" w:w="1600"/>
          </w:tcPr>
          <w:p>
            <w:pPr>
              <w:jc w:val="center"/>
            </w:pPr>
            <w:r>
              <w:t xml:space="preserve">1</w:t>
            </w:r>
          </w:p>
        </w:tc>
        <w:tc>
          <w:tcPr>
            <w:tcW w:type="dxa" w:w="1800"/>
          </w:tcPr>
          <w:p>
            <w:pPr>
              <w:jc w:val="center"/>
            </w:pPr>
            <w:r>
              <w:t xml:space="preserve">147 bytes</w:t>
            </w:r>
          </w:p>
        </w:tc>
        <w:tc>
          <w:tcPr>
            <w:tcW w:type="dxa" w:w="1800"/>
          </w:tcPr>
          <w:p>
            <w:pPr>
              <w:jc w:val="center"/>
            </w:pPr>
            <w:r>
              <w:t xml:space="preserve">SIGSEGV (11)</w:t>
            </w:r>
          </w:p>
        </w:tc>
      </w:tr>
      <w:tr>
        <w:tc>
          <w:tcPr>
            <w:tcW w:type="dxa" w:w="1400"/>
          </w:tcPr>
          <w:p>
            <w:pPr>
              <w:jc w:val="center"/>
            </w:pPr>
            <w:r>
              <w:t xml:space="preserve">2</w:t>
            </w:r>
          </w:p>
        </w:tc>
        <w:tc>
          <w:tcPr>
            <w:tcW w:type="dxa" w:w="1600"/>
          </w:tcPr>
          <w:p>
            <w:pPr>
              <w:jc w:val="center"/>
            </w:pPr>
            <w:r>
              <w:t xml:space="preserve">1</w:t>
            </w:r>
          </w:p>
        </w:tc>
        <w:tc>
          <w:tcPr>
            <w:tcW w:type="dxa" w:w="1600"/>
          </w:tcPr>
          <w:p>
            <w:pPr>
              <w:jc w:val="center"/>
            </w:pPr>
            <w:r>
              <w:t xml:space="preserve">1</w:t>
            </w:r>
          </w:p>
        </w:tc>
        <w:tc>
          <w:tcPr>
            <w:tcW w:type="dxa" w:w="1800"/>
          </w:tcPr>
          <w:p>
            <w:pPr>
              <w:jc w:val="center"/>
            </w:pPr>
            <w:r>
              <w:t xml:space="preserve">147 bytes</w:t>
            </w:r>
          </w:p>
        </w:tc>
        <w:tc>
          <w:tcPr>
            <w:tcW w:type="dxa" w:w="1800"/>
          </w:tcPr>
          <w:p>
            <w:pPr>
              <w:jc w:val="center"/>
            </w:pPr>
            <w:r>
              <w:t xml:space="preserve">SIGSEGV (11)</w:t>
            </w:r>
          </w:p>
        </w:tc>
      </w:tr>
      <w:tr>
        <w:tc>
          <w:tcPr>
            <w:tcW w:type="dxa" w:w="1400"/>
          </w:tcPr>
          <w:p>
            <w:pPr>
              <w:jc w:val="center"/>
            </w:pPr>
            <w:r>
              <w:t xml:space="preserve">3</w:t>
            </w:r>
          </w:p>
        </w:tc>
        <w:tc>
          <w:tcPr>
            <w:tcW w:type="dxa" w:w="1600"/>
          </w:tcPr>
          <w:p>
            <w:pPr>
              <w:jc w:val="center"/>
            </w:pPr>
            <w:r>
              <w:t xml:space="preserve">1</w:t>
            </w:r>
          </w:p>
        </w:tc>
        <w:tc>
          <w:tcPr>
            <w:tcW w:type="dxa" w:w="1600"/>
          </w:tcPr>
          <w:p>
            <w:pPr>
              <w:jc w:val="center"/>
            </w:pPr>
            <w:r>
              <w:t xml:space="preserve">15</w:t>
            </w:r>
          </w:p>
        </w:tc>
        <w:tc>
          <w:tcPr>
            <w:tcW w:type="dxa" w:w="1800"/>
          </w:tcPr>
          <w:p>
            <w:pPr>
              <w:jc w:val="center"/>
            </w:pPr>
            <w:r>
              <w:t xml:space="preserve">130 bytes</w:t>
            </w:r>
          </w:p>
        </w:tc>
        <w:tc>
          <w:tcPr>
            <w:tcW w:type="dxa" w:w="1800"/>
          </w:tcPr>
          <w:p>
            <w:pPr>
              <w:jc w:val="center"/>
            </w:pPr>
            <w:r>
              <w:t xml:space="preserve">SIGSEGV (11)</w:t>
            </w:r>
          </w:p>
        </w:tc>
      </w:tr>
      <w:tr>
        <w:tc>
          <w:tcPr>
            <w:tcW w:type="dxa" w:w="1400"/>
          </w:tcPr>
          <w:p>
            <w:pPr>
              <w:jc w:val="center"/>
            </w:pPr>
            <w:r>
              <w:t xml:space="preserve">4</w:t>
            </w:r>
          </w:p>
        </w:tc>
        <w:tc>
          <w:tcPr>
            <w:tcW w:type="dxa" w:w="1600"/>
          </w:tcPr>
          <w:p>
            <w:pPr>
              <w:jc w:val="center"/>
            </w:pPr>
            <w:r>
              <w:t xml:space="preserve">1</w:t>
            </w:r>
          </w:p>
        </w:tc>
        <w:tc>
          <w:tcPr>
            <w:tcW w:type="dxa" w:w="1600"/>
          </w:tcPr>
          <w:p>
            <w:pPr>
              <w:jc w:val="center"/>
            </w:pPr>
            <w:r>
              <w:t xml:space="preserve">40</w:t>
            </w:r>
          </w:p>
        </w:tc>
        <w:tc>
          <w:tcPr>
            <w:tcW w:type="dxa" w:w="1800"/>
          </w:tcPr>
          <w:p>
            <w:pPr>
              <w:jc w:val="center"/>
            </w:pPr>
            <w:r>
              <w:t xml:space="preserve">287 bytes</w:t>
            </w:r>
          </w:p>
        </w:tc>
        <w:tc>
          <w:tcPr>
            <w:tcW w:type="dxa" w:w="1800"/>
          </w:tcPr>
          <w:p>
            <w:pPr>
              <w:jc w:val="center"/>
            </w:pPr>
            <w:r>
              <w:t xml:space="preserve">SIGSEGV (11)</w:t>
            </w:r>
          </w:p>
        </w:tc>
      </w:tr>
      <w:tr>
        <w:tc>
          <w:tcPr>
            <w:tcW w:type="dxa" w:w="1400"/>
          </w:tcPr>
          <w:p>
            <w:pPr>
              <w:jc w:val="center"/>
            </w:pPr>
            <w:r>
              <w:t xml:space="preserve">5</w:t>
            </w:r>
          </w:p>
        </w:tc>
        <w:tc>
          <w:tcPr>
            <w:tcW w:type="dxa" w:w="1600"/>
          </w:tcPr>
          <w:p>
            <w:pPr>
              <w:jc w:val="center"/>
            </w:pPr>
            <w:r>
              <w:t xml:space="preserve">1</w:t>
            </w:r>
          </w:p>
        </w:tc>
        <w:tc>
          <w:tcPr>
            <w:tcW w:type="dxa" w:w="1600"/>
          </w:tcPr>
          <w:p>
            <w:pPr>
              <w:jc w:val="center"/>
            </w:pPr>
            <w:r>
              <w:t xml:space="preserve">64</w:t>
            </w:r>
          </w:p>
        </w:tc>
        <w:tc>
          <w:tcPr>
            <w:tcW w:type="dxa" w:w="1800"/>
          </w:tcPr>
          <w:p>
            <w:pPr>
              <w:jc w:val="center"/>
            </w:pPr>
            <w:r>
              <w:t xml:space="preserve">477 bytes</w:t>
            </w:r>
          </w:p>
        </w:tc>
        <w:tc>
          <w:tcPr>
            <w:tcW w:type="dxa" w:w="1800"/>
          </w:tcPr>
          <w:p>
            <w:pPr>
              <w:jc w:val="center"/>
            </w:pPr>
            <w:r>
              <w:t xml:space="preserve">SIGSEGV (11)</w:t>
            </w:r>
          </w:p>
        </w:tc>
      </w:tr>
      <w:tr>
        <w:tc>
          <w:tcPr>
            <w:tcW w:type="dxa" w:w="1400"/>
          </w:tcPr>
          <w:p>
            <w:pPr>
              <w:jc w:val="center"/>
            </w:pPr>
            <w:r>
              <w:t xml:space="preserve">6</w:t>
            </w:r>
          </w:p>
        </w:tc>
        <w:tc>
          <w:tcPr>
            <w:tcW w:type="dxa" w:w="1600"/>
          </w:tcPr>
          <w:p>
            <w:pPr>
              <w:jc w:val="center"/>
            </w:pPr>
            <w:r>
              <w:t xml:space="preserve">1</w:t>
            </w:r>
          </w:p>
        </w:tc>
        <w:tc>
          <w:tcPr>
            <w:tcW w:type="dxa" w:w="1600"/>
          </w:tcPr>
          <w:p>
            <w:pPr>
              <w:jc w:val="center"/>
            </w:pPr>
            <w:r>
              <w:t xml:space="preserve">40</w:t>
            </w:r>
          </w:p>
        </w:tc>
        <w:tc>
          <w:tcPr>
            <w:tcW w:type="dxa" w:w="1800"/>
          </w:tcPr>
          <w:p>
            <w:pPr>
              <w:jc w:val="center"/>
            </w:pPr>
            <w:r>
              <w:t xml:space="preserve">287 bytes</w:t>
            </w:r>
          </w:p>
        </w:tc>
        <w:tc>
          <w:tcPr>
            <w:tcW w:type="dxa" w:w="1800"/>
          </w:tcPr>
          <w:p>
            <w:pPr>
              <w:jc w:val="center"/>
            </w:pPr>
            <w:r>
              <w:t xml:space="preserve">SIGSEGV (11)</w:t>
            </w:r>
          </w:p>
        </w:tc>
      </w:tr>
      <w:tr>
        <w:tc>
          <w:tcPr>
            <w:tcW w:type="dxa" w:w="1400"/>
          </w:tcPr>
          <w:p>
            <w:pPr>
              <w:jc w:val="center"/>
            </w:pPr>
            <w:r>
              <w:t xml:space="preserve">7</w:t>
            </w:r>
          </w:p>
        </w:tc>
        <w:tc>
          <w:tcPr>
            <w:tcW w:type="dxa" w:w="1600"/>
          </w:tcPr>
          <w:p>
            <w:pPr>
              <w:jc w:val="center"/>
            </w:pPr>
            <w:r>
              <w:t xml:space="preserve">1</w:t>
            </w:r>
          </w:p>
        </w:tc>
        <w:tc>
          <w:tcPr>
            <w:tcW w:type="dxa" w:w="1600"/>
          </w:tcPr>
          <w:p>
            <w:pPr>
              <w:jc w:val="center"/>
            </w:pPr>
            <w:r>
              <w:t xml:space="preserve">1</w:t>
            </w:r>
          </w:p>
        </w:tc>
        <w:tc>
          <w:tcPr>
            <w:tcW w:type="dxa" w:w="1800"/>
          </w:tcPr>
          <w:p>
            <w:pPr>
              <w:jc w:val="center"/>
            </w:pPr>
            <w:r>
              <w:t xml:space="preserve">147 bytes</w:t>
            </w:r>
          </w:p>
        </w:tc>
        <w:tc>
          <w:tcPr>
            <w:tcW w:type="dxa" w:w="1800"/>
          </w:tcPr>
          <w:p>
            <w:pPr>
              <w:jc w:val="center"/>
            </w:pPr>
            <w:r>
              <w:t xml:space="preserve">SIGSEGV (11)</w:t>
            </w:r>
          </w:p>
        </w:tc>
      </w:tr>
      <w:tr>
        <w:tc>
          <w:tcPr>
            <w:tcW w:type="dxa" w:w="1400"/>
          </w:tcPr>
          <w:p>
            <w:pPr>
              <w:jc w:val="center"/>
            </w:pPr>
            <w:r>
              <w:t xml:space="preserve">8</w:t>
            </w:r>
          </w:p>
        </w:tc>
        <w:tc>
          <w:tcPr>
            <w:tcW w:type="dxa" w:w="1600"/>
          </w:tcPr>
          <w:p>
            <w:pPr>
              <w:jc w:val="center"/>
            </w:pPr>
            <w:r>
              <w:t xml:space="preserve">1</w:t>
            </w:r>
          </w:p>
        </w:tc>
        <w:tc>
          <w:tcPr>
            <w:tcW w:type="dxa" w:w="1600"/>
          </w:tcPr>
          <w:p>
            <w:pPr>
              <w:jc w:val="center"/>
            </w:pPr>
            <w:r>
              <w:t xml:space="preserve">1</w:t>
            </w:r>
          </w:p>
        </w:tc>
        <w:tc>
          <w:tcPr>
            <w:tcW w:type="dxa" w:w="1800"/>
          </w:tcPr>
          <w:p>
            <w:pPr>
              <w:jc w:val="center"/>
            </w:pPr>
            <w:r>
              <w:t xml:space="preserve">147 bytes</w:t>
            </w:r>
          </w:p>
        </w:tc>
        <w:tc>
          <w:tcPr>
            <w:tcW w:type="dxa" w:w="1800"/>
          </w:tcPr>
          <w:p>
            <w:pPr>
              <w:jc w:val="center"/>
            </w:pPr>
            <w:r>
              <w:t xml:space="preserve">SIGSEGV (11)</w:t>
            </w:r>
          </w:p>
        </w:tc>
      </w:tr>
      <w:tr>
        <w:tc>
          <w:tcPr>
            <w:tcW w:type="dxa" w:w="1400"/>
          </w:tcPr>
          <w:p>
            <w:pPr>
              <w:jc w:val="center"/>
            </w:pPr>
            <w:r>
              <w:t xml:space="preserve">9</w:t>
            </w:r>
          </w:p>
        </w:tc>
        <w:tc>
          <w:tcPr>
            <w:tcW w:type="dxa" w:w="1600"/>
          </w:tcPr>
          <w:p>
            <w:pPr>
              <w:jc w:val="center"/>
            </w:pPr>
            <w:r>
              <w:t xml:space="preserve">—</w:t>
            </w:r>
          </w:p>
        </w:tc>
        <w:tc>
          <w:tcPr>
            <w:tcW w:type="dxa" w:w="1600"/>
          </w:tcPr>
          <w:p>
            <w:pPr>
              <w:jc w:val="center"/>
            </w:pPr>
            <w:r>
              <w:t xml:space="preserve">—</w:t>
            </w:r>
          </w:p>
        </w:tc>
        <w:tc>
          <w:tcPr>
            <w:tcW w:type="dxa" w:w="1800"/>
          </w:tcPr>
          <w:p>
            <w:pPr>
              <w:jc w:val="center"/>
            </w:pPr>
            <w:r>
              <w:t xml:space="preserve">not solved</w:t>
            </w:r>
          </w:p>
        </w:tc>
        <w:tc>
          <w:tcPr>
            <w:tcW w:type="dxa" w:w="1800"/>
          </w:tcPr>
          <w:p>
            <w:pPr>
              <w:jc w:val="center"/>
            </w:pPr>
            <w:r>
              <w:t xml:space="preserve">—</w:t>
            </w:r>
          </w:p>
        </w:tc>
      </w:tr>
      <w:tr>
        <w:tc>
          <w:tcPr>
            <w:tcW w:type="dxa" w:w="1400"/>
          </w:tcPr>
          <w:p>
            <w:pPr>
              <w:jc w:val="center"/>
            </w:pPr>
            <w:r>
              <w:t xml:space="preserve">10</w:t>
            </w:r>
          </w:p>
        </w:tc>
        <w:tc>
          <w:tcPr>
            <w:tcW w:type="dxa" w:w="1600"/>
          </w:tcPr>
          <w:p>
            <w:pPr>
              <w:jc w:val="center"/>
            </w:pPr>
            <w:r>
              <w:t xml:space="preserve">1</w:t>
            </w:r>
          </w:p>
        </w:tc>
        <w:tc>
          <w:tcPr>
            <w:tcW w:type="dxa" w:w="1600"/>
          </w:tcPr>
          <w:p>
            <w:pPr>
              <w:jc w:val="center"/>
            </w:pPr>
            <w:r>
              <w:t xml:space="preserve">40</w:t>
            </w:r>
          </w:p>
        </w:tc>
        <w:tc>
          <w:tcPr>
            <w:tcW w:type="dxa" w:w="1800"/>
          </w:tcPr>
          <w:p>
            <w:pPr>
              <w:jc w:val="center"/>
            </w:pPr>
            <w:r>
              <w:t xml:space="preserve">287 bytes</w:t>
            </w:r>
          </w:p>
        </w:tc>
        <w:tc>
          <w:tcPr>
            <w:tcW w:type="dxa" w:w="1800"/>
          </w:tcPr>
          <w:p>
            <w:pPr>
              <w:jc w:val="center"/>
            </w:pPr>
            <w:r>
              <w:t xml:space="preserve">SIGSEGV (11)</w:t>
            </w:r>
          </w:p>
        </w:tc>
      </w:tr>
    </w:tbl>
    <w:p>
      <w:pPr>
        <w:spacing w:before="200"/>
      </w:pPr>
    </w:p>
    <w:p>
      <w:pPr>
        <w:spacing w:after="120"/>
      </w:pPr>
      <w:r>
        <w:t xml:space="preserve">Levels 1-8 and Level 10 were crashed and confirmed through the official verifier, each producing a flag. I wasn't able to solve Level 9 in the time I had -- its binary prints an extra message ("Reading too much!") that the others don't have, which points to a stricter length check that my seed and search ranges didn't manage to get past.</w:t>
      </w:r>
    </w:p>
    <w:p>
      <w:pPr>
        <w:pStyle w:val="Heading1"/>
        <w:spacing w:after="120" w:before="240"/>
      </w:pPr>
      <w:r>
        <w:t xml:space="preserve">8. Design Choices That Kept the Fuzzer Honest</w:t>
      </w:r>
    </w:p>
    <w:p>
      <w:pPr>
        <w:spacing w:after="120"/>
      </w:pPr>
      <w:r>
        <w:t xml:space="preserve">A few things I was careful about, since it would have been easy to accidentally special-case a level without meaning to:</w:t>
      </w:r>
    </w:p>
    <w:p>
      <w:pPr>
        <w:pStyle w:val="ListParagraph"/>
        <w:numPr>
          <w:ilvl w:val="0"/>
          <w:numId w:val="1"/>
        </w:numPr>
        <w:spacing w:after="60"/>
      </w:pPr>
      <w:r>
        <w:t xml:space="preserve">stdout only ever carries the generated bytes -- no debug prints mixed in,</w:t>
      </w:r>
    </w:p>
    <w:p>
      <w:pPr>
        <w:pStyle w:val="ListParagraph"/>
        <w:numPr>
          <w:ilvl w:val="0"/>
          <w:numId w:val="1"/>
        </w:numPr>
        <w:spacing w:after="60"/>
      </w:pPr>
      <w:r>
        <w:t xml:space="preserve">the seed file is read-only from the fuzzer's perspective; it's never modified or regenerated,</w:t>
      </w:r>
    </w:p>
    <w:p>
      <w:pPr>
        <w:pStyle w:val="ListParagraph"/>
        <w:numPr>
          <w:ilvl w:val="0"/>
          <w:numId w:val="1"/>
        </w:numPr>
        <w:spacing w:after="60"/>
      </w:pPr>
      <w:r>
        <w:t xml:space="preserve">all randomness comes from the seeded PRNG, not the clock or anything else that would break reproducibility, and</w:t>
      </w:r>
    </w:p>
    <w:p>
      <w:pPr>
        <w:pStyle w:val="ListParagraph"/>
        <w:numPr>
          <w:ilvl w:val="0"/>
          <w:numId w:val="1"/>
        </w:numPr>
        <w:spacing w:after="60"/>
      </w:pPr>
      <w:r>
        <w:t xml:space="preserve">there is no branch anywhere in the code that checks the level, the filename, or a specific iteration count -- the same script and seed were used unmodified for all ten levels.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2026-07-05T04:14:32.060Z</dcterms:created>
  <dcterms:modified xsi:type="dcterms:W3CDTF">2026-07-05T04:14:32.060Z</dcterms:modified>
</cp:coreProperties>
</file>

<file path=docProps/custom.xml><?xml version="1.0" encoding="utf-8"?>
<Properties xmlns="http://schemas.openxmlformats.org/officeDocument/2006/custom-properties" xmlns:vt="http://schemas.openxmlformats.org/officeDocument/2006/docPropsVTypes"/>
</file>