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271" w:lineRule="auto"/>
      </w:pPr>
    </w:p>
    <w:p>
      <w:pPr>
        <w:keepNext w:val="0"/>
        <w:spacing w:before="0" w:after="200" w:line="240" w:lineRule="auto"/>
      </w:pPr>
      <w:r>
        <w:rPr>
          <w:rFonts w:ascii="Arial" w:hAnsi="Arial" w:eastAsia="FangSong" w:cs="Arial"/>
          <w:b/>
          <w:i w:val="0"/>
          <w:color w:val="7A1F2B"/>
          <w:sz w:val="24"/>
        </w:rPr>
        <w:t>香港 IPO 先例研究</w:t>
      </w:r>
    </w:p>
    <w:p>
      <w:pPr>
        <w:pStyle w:val="Title"/>
        <w:keepNext w:val="0"/>
        <w:spacing w:before="0" w:after="180" w:line="259" w:lineRule="auto"/>
      </w:pPr>
      <w:r>
        <w:rPr>
          <w:rFonts w:ascii="Arial" w:hAnsi="Arial" w:eastAsia="FangSong" w:cs="Arial"/>
          <w:b/>
          <w:i w:val="0"/>
          <w:color w:val="202124"/>
          <w:sz w:val="50"/>
        </w:rPr>
        <w:t>向实体清单列名客户销售</w:t>
      </w:r>
    </w:p>
    <w:p>
      <w:pPr>
        <w:keepNext w:val="0"/>
        <w:spacing w:before="0" w:after="500" w:line="276" w:lineRule="auto"/>
      </w:pPr>
      <w:r>
        <w:rPr>
          <w:rFonts w:ascii="Arial" w:hAnsi="Arial" w:eastAsia="FangSong" w:cs="Arial"/>
          <w:b w:val="0"/>
          <w:i w:val="0"/>
          <w:color w:val="3B3D40"/>
          <w:sz w:val="34"/>
        </w:rPr>
        <w:t>产品范围、交易期间及 EAR 许可分析</w:t>
      </w:r>
    </w:p>
    <w:tbl>
      <w:tblPr>
        <w:tblW w:type="dxa" w:w="9751"/>
        <w:jc w:val="center"/>
        <w:tblLayout w:type="fixed"/>
        <w:tblLook w:firstColumn="1" w:firstRow="1" w:lastColumn="0" w:lastRow="0" w:noHBand="0" w:noVBand="1" w:val="04A0"/>
        <w:tblBorders>
          <w:top w:val="single" w:sz="8" w:color="7A1F2B"/>
          <w:left w:val="single" w:sz="8" w:color="7A1F2B"/>
          <w:bottom w:val="single" w:sz="8" w:color="7A1F2B"/>
          <w:right w:val="single" w:sz="8" w:color="7A1F2B"/>
          <w:insideH w:val="single" w:sz="8" w:color="7A1F2B"/>
          <w:insideV w:val="single" w:sz="8" w:color="7A1F2B"/>
        </w:tblBorders>
      </w:tblPr>
      <w:tblGrid>
        <w:gridCol w:w="9751"/>
      </w:tblGrid>
      <w:tr>
        <w:tc>
          <w:tcPr>
            <w:tcW w:type="dxa" w:w="9751"/>
            <w:vAlign w:val="center"/>
            <w:tcMar>
              <w:top w:w="85" w:type="dxa"/>
              <w:start w:w="120" w:type="dxa"/>
              <w:bottom w:w="85" w:type="dxa"/>
              <w:end w:w="120" w:type="dxa"/>
            </w:tcMar>
            <w:shd w:fill="F6E9EB"/>
          </w:tcPr>
          <w:p>
            <w:pPr>
              <w:keepNext/>
              <w:spacing w:before="0" w:after="100" w:line="259" w:lineRule="auto"/>
            </w:pPr>
            <w:r/>
            <w:r>
              <w:rPr>
                <w:rFonts w:ascii="Arial" w:hAnsi="Arial" w:eastAsia="FangSong" w:cs="Arial"/>
                <w:b/>
                <w:i w:val="0"/>
                <w:color w:val="7A1F2B"/>
                <w:sz w:val="21"/>
              </w:rPr>
              <w:t>研究结论</w:t>
            </w:r>
          </w:p>
          <w:p>
            <w:pPr>
              <w:keepNext w:val="0"/>
              <w:spacing w:before="0" w:after="60" w:line="259" w:lineRule="auto"/>
              <w:ind w:left="312" w:hanging="215"/>
            </w:pPr>
            <w:r>
              <w:rPr>
                <w:rFonts w:ascii="Arial" w:hAnsi="Arial" w:eastAsia="FangSong" w:cs="Arial"/>
                <w:b/>
                <w:i w:val="0"/>
                <w:color w:val="202124"/>
                <w:sz w:val="18"/>
              </w:rPr>
              <w:t xml:space="preserve">• </w:t>
            </w:r>
            <w:r>
              <w:rPr>
                <w:rFonts w:ascii="Arial" w:hAnsi="Arial" w:eastAsia="FangSong" w:cs="Arial"/>
                <w:b w:val="0"/>
                <w:i w:val="0"/>
                <w:color w:val="202124"/>
                <w:sz w:val="18"/>
              </w:rPr>
              <w:t>五家发行人的正式招股书披露了向 Entity List 客户实际销售的产品、交易规模及法律分析；另列爱芯元智，比较客户列名与 Footnote 生效之间的时间差异。</w:t>
            </w:r>
          </w:p>
          <w:p>
            <w:pPr>
              <w:keepNext w:val="0"/>
              <w:spacing w:before="0" w:after="60" w:line="259" w:lineRule="auto"/>
              <w:ind w:left="312" w:hanging="215"/>
            </w:pPr>
            <w:r>
              <w:rPr>
                <w:rFonts w:ascii="Arial" w:hAnsi="Arial" w:eastAsia="FangSong" w:cs="Arial"/>
                <w:b/>
                <w:i w:val="0"/>
                <w:color w:val="202124"/>
                <w:sz w:val="18"/>
              </w:rPr>
              <w:t xml:space="preserve">• </w:t>
            </w:r>
            <w:r>
              <w:rPr>
                <w:rFonts w:ascii="Arial" w:hAnsi="Arial" w:eastAsia="FangSong" w:cs="Arial"/>
                <w:b w:val="0"/>
                <w:i w:val="0"/>
                <w:color w:val="202124"/>
                <w:sz w:val="18"/>
              </w:rPr>
              <w:t>龙旗可将客户身份、产品及收入勾稽；天域区分原料与成品；赛目披露开发工具；珞石单列 Footnote 4 客户；琻捷分别核查设计与合同制造。</w:t>
            </w:r>
          </w:p>
          <w:p>
            <w:pPr>
              <w:keepNext w:val="0"/>
              <w:spacing w:before="0" w:after="60" w:line="259" w:lineRule="auto"/>
              <w:ind w:left="312" w:hanging="215"/>
            </w:pPr>
            <w:r>
              <w:rPr>
                <w:rFonts w:ascii="Arial" w:hAnsi="Arial" w:eastAsia="FangSong" w:cs="Arial"/>
                <w:b/>
                <w:i w:val="0"/>
                <w:color w:val="202124"/>
                <w:sz w:val="18"/>
              </w:rPr>
              <w:t xml:space="preserve">• </w:t>
            </w:r>
            <w:r>
              <w:rPr>
                <w:rFonts w:ascii="Arial" w:hAnsi="Arial" w:eastAsia="FangSong" w:cs="Arial"/>
                <w:b w:val="0"/>
                <w:i w:val="0"/>
                <w:color w:val="202124"/>
                <w:sz w:val="18"/>
              </w:rPr>
              <w:t>采用先例须同时匹配客户、产品、生产链及交易时间。收入规模和停止交易安排不替代 EAR 管辖及许可分析。</w:t>
            </w:r>
          </w:p>
        </w:tc>
      </w:tr>
    </w:tbl>
    <w:p>
      <w:pPr>
        <w:keepNext w:val="0"/>
        <w:spacing w:before="0" w:after="20" w:line="259" w:lineRule="auto"/>
      </w:pPr>
      <w:r>
        <w:rPr>
          <w:rFonts w:ascii="Arial" w:hAnsi="Arial" w:eastAsia="FangSong" w:cs="Arial"/>
          <w:b w:val="0"/>
          <w:i w:val="0"/>
          <w:color w:val="202124"/>
          <w:sz w:val="2"/>
        </w:rPr>
      </w:r>
    </w:p>
    <w:p>
      <w:pPr>
        <w:keepNext w:val="0"/>
        <w:spacing w:before="0" w:after="280" w:line="271" w:lineRule="auto"/>
      </w:pPr>
    </w:p>
    <w:p>
      <w:pPr>
        <w:keepNext w:val="0"/>
        <w:spacing w:before="0" w:after="120" w:line="271" w:lineRule="auto"/>
      </w:pPr>
      <w:r>
        <w:rPr>
          <w:rFonts w:ascii="Arial" w:hAnsi="Arial" w:eastAsia="FangSong" w:cs="Arial"/>
          <w:b w:val="0"/>
          <w:i w:val="0"/>
          <w:color w:val="777B80"/>
          <w:sz w:val="20"/>
        </w:rPr>
        <w:t>演示期间实时生成  |  2026年9月6日</w:t>
      </w:r>
    </w:p>
    <w:p>
      <w:pPr>
        <w:keepNext w:val="0"/>
        <w:spacing w:before="0" w:after="120" w:line="271" w:lineRule="auto"/>
      </w:pPr>
      <w:r>
        <w:rPr>
          <w:rFonts w:ascii="Arial" w:hAnsi="Arial" w:eastAsia="FangSong" w:cs="Arial"/>
          <w:b w:val="0"/>
          <w:i w:val="0"/>
          <w:color w:val="202124"/>
          <w:sz w:val="20"/>
        </w:rPr>
        <w:t>资料截至2026年9月6日。根据公开招股书编制，供投行项目组比较披露及安排核查。</w:t>
      </w:r>
    </w:p>
    <w:p>
      <w:pPr>
        <w:keepNext w:val="0"/>
        <w:spacing w:before="0" w:after="120" w:line="271" w:lineRule="auto"/>
      </w:pPr>
      <w:r>
        <w:rPr>
          <w:rFonts w:ascii="Arial" w:hAnsi="Arial" w:eastAsia="FangSong" w:cs="Arial"/>
          <w:b w:val="0"/>
          <w:i w:val="0"/>
          <w:color w:val="3B3D40"/>
          <w:sz w:val="19"/>
        </w:rPr>
        <w:t>本报告不构成当前交易的法律意见。各案例的事实和顾问结论均以所引文件日期及适用范围为准。</w:t>
      </w:r>
    </w:p>
    <w:p>
      <w:pPr>
        <w:keepNext/>
        <w:spacing w:before="220" w:after="100" w:line="240" w:lineRule="auto"/>
      </w:pPr>
      <w:r>
        <w:rPr>
          <w:rFonts w:ascii="Arial" w:hAnsi="Arial" w:eastAsia="FangSong" w:cs="Arial"/>
          <w:b/>
          <w:i w:val="0"/>
          <w:color w:val="202124"/>
          <w:sz w:val="25"/>
        </w:rPr>
        <w:t>阅读指引</w:t>
      </w:r>
    </w:p>
    <w:tbl>
      <w:tblPr>
        <w:tblW w:type="dxa" w:w="9752"/>
        <w:jc w:val="center"/>
        <w:tblLayout w:type="fixed"/>
        <w:tblLook w:firstColumn="1" w:firstRow="1" w:lastColumn="0" w:lastRow="0" w:noHBand="0" w:noVBand="1" w:val="04A0"/>
        <w:tblBorders>
          <w:top w:val="single" w:sz="4" w:color="D3D4D5"/>
          <w:left w:val="single" w:sz="4" w:color="D3D4D5"/>
          <w:bottom w:val="single" w:sz="4" w:color="D3D4D5"/>
          <w:right w:val="single" w:sz="4" w:color="D3D4D5"/>
          <w:insideH w:val="single" w:sz="4" w:color="D3D4D5"/>
          <w:insideV w:val="single" w:sz="4" w:color="D3D4D5"/>
        </w:tblBorders>
      </w:tblPr>
      <w:tblGrid>
        <w:gridCol w:w="2835"/>
        <w:gridCol w:w="6917"/>
      </w:tblGrid>
      <w:tr>
        <w:trPr>
          <w:tblHeader w:val="true"/>
        </w:trPr>
        <w:tc>
          <w:tcPr>
            <w:tcW w:type="dxa" w:w="2835"/>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9"/>
              </w:rPr>
              <w:t>内容</w:t>
            </w:r>
          </w:p>
        </w:tc>
        <w:tc>
          <w:tcPr>
            <w:tcW w:type="dxa" w:w="6917"/>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9"/>
              </w:rPr>
              <w:t>用途</w:t>
            </w:r>
          </w:p>
        </w:tc>
      </w:tr>
      <w:tr>
        <w:trPr>
          <w:cantSplit/>
        </w:trPr>
        <w:tc>
          <w:tcPr>
            <w:tcW w:type="dxa" w:w="2835"/>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9"/>
              </w:rPr>
              <w:t>执行摘要及横向比较</w:t>
            </w:r>
          </w:p>
        </w:tc>
        <w:tc>
          <w:tcPr>
            <w:tcW w:type="dxa" w:w="6917"/>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9"/>
              </w:rPr>
              <w:t>识别产品、收入、持续交易及法律分析的差异</w:t>
            </w:r>
          </w:p>
        </w:tc>
      </w:tr>
      <w:tr>
        <w:trPr>
          <w:cantSplit/>
        </w:trPr>
        <w:tc>
          <w:tcPr>
            <w:tcW w:type="dxa" w:w="2835"/>
            <w:tcMar>
              <w:top w:w="85" w:type="dxa"/>
              <w:start w:w="120" w:type="dxa"/>
              <w:bottom w:w="85" w:type="dxa"/>
              <w:end w:w="120" w:type="dxa"/>
            </w:tcMar>
            <w:shd w:fill="F5F5F3"/>
          </w:tcPr>
          <w:p>
            <w:pPr>
              <w:keepNext w:val="0"/>
              <w:spacing w:before="0" w:after="0" w:line="250" w:lineRule="auto"/>
            </w:pPr>
            <w:r/>
            <w:r>
              <w:rPr>
                <w:rFonts w:ascii="Arial" w:hAnsi="Arial" w:eastAsia="FangSong" w:cs="Arial"/>
                <w:b w:val="0"/>
                <w:i w:val="0"/>
                <w:color w:val="202124"/>
                <w:sz w:val="19"/>
              </w:rPr>
              <w:t>五家主要先例及时间对照</w:t>
            </w:r>
          </w:p>
        </w:tc>
        <w:tc>
          <w:tcPr>
            <w:tcW w:type="dxa" w:w="6917"/>
            <w:tcMar>
              <w:top w:w="85" w:type="dxa"/>
              <w:start w:w="120" w:type="dxa"/>
              <w:bottom w:w="85" w:type="dxa"/>
              <w:end w:w="120" w:type="dxa"/>
            </w:tcMar>
            <w:shd w:fill="F5F5F3"/>
          </w:tcPr>
          <w:p>
            <w:pPr>
              <w:keepNext w:val="0"/>
              <w:spacing w:before="0" w:after="0" w:line="250" w:lineRule="auto"/>
            </w:pPr>
            <w:r/>
            <w:r>
              <w:rPr>
                <w:rFonts w:ascii="Arial" w:hAnsi="Arial" w:eastAsia="FangSong" w:cs="Arial"/>
                <w:b w:val="0"/>
                <w:i w:val="0"/>
                <w:color w:val="202124"/>
                <w:sz w:val="19"/>
              </w:rPr>
              <w:t>回查客户事实、顾问意见和原文页码</w:t>
            </w:r>
          </w:p>
        </w:tc>
      </w:tr>
      <w:tr>
        <w:trPr>
          <w:cantSplit/>
        </w:trPr>
        <w:tc>
          <w:tcPr>
            <w:tcW w:type="dxa" w:w="2835"/>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9"/>
              </w:rPr>
              <w:t>披露核查事项及官方来源</w:t>
            </w:r>
          </w:p>
        </w:tc>
        <w:tc>
          <w:tcPr>
            <w:tcW w:type="dxa" w:w="6917"/>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9"/>
              </w:rPr>
              <w:t>形成项目资料清单，并定位正式招股书</w:t>
            </w:r>
          </w:p>
        </w:tc>
      </w:tr>
    </w:tbl>
    <w:p>
      <w:r>
        <w:br w:type="page"/>
      </w:r>
    </w:p>
    <w:p>
      <w:pPr>
        <w:keepNext/>
        <w:spacing w:before="320" w:after="140" w:line="240" w:lineRule="auto"/>
        <w:pBdr>
          <w:bottom w:val="single" w:sz="10" w:space="5" w:color="7A1F2B"/>
        </w:pBdr>
      </w:pPr>
      <w:r>
        <w:rPr>
          <w:rFonts w:ascii="Arial" w:hAnsi="Arial" w:eastAsia="FangSong" w:cs="Arial"/>
          <w:b/>
          <w:i w:val="0"/>
          <w:color w:val="202124"/>
          <w:sz w:val="32"/>
        </w:rPr>
        <w:t>一、执行摘要</w:t>
      </w:r>
    </w:p>
    <w:p>
      <w:pPr>
        <w:keepNext w:val="0"/>
        <w:spacing w:before="0" w:after="120" w:line="271" w:lineRule="auto"/>
      </w:pPr>
      <w:r>
        <w:rPr>
          <w:rFonts w:ascii="Arial" w:hAnsi="Arial" w:eastAsia="FangSong" w:cs="Arial"/>
          <w:b/>
          <w:i w:val="0"/>
          <w:color w:val="202124"/>
          <w:sz w:val="21"/>
        </w:rPr>
        <w:t>本报告选取五家有实际销售披露的发行人，比较其如何解释向 Entity List 客户销售的产品、交易规模及出口管制分析；另以爱芯元智说明客户列名与 Footnote 生效的时间差异。</w:t>
      </w:r>
      <w:r>
        <w:rPr>
          <w:rFonts w:ascii="Arial" w:hAnsi="Arial" w:eastAsia="FangSong" w:cs="Arial"/>
          <w:b w:val="0"/>
          <w:i w:val="0"/>
          <w:color w:val="202124"/>
          <w:sz w:val="21"/>
        </w:rPr>
        <w:t xml:space="preserve"> 所选资料均为正式 Global Offering 招股书。研究重点是可借鉴的披露和核查方法，未以招股书刊发推定监管机构认可任何具体交易。</w:t>
      </w:r>
    </w:p>
    <w:p>
      <w:pPr>
        <w:keepNext w:val="0"/>
        <w:spacing w:before="0" w:after="120" w:line="271" w:lineRule="auto"/>
      </w:pPr>
      <w:r>
        <w:rPr>
          <w:rFonts w:ascii="Arial" w:hAnsi="Arial" w:eastAsia="FangSong" w:cs="Arial"/>
          <w:b/>
          <w:i w:val="0"/>
          <w:color w:val="202124"/>
          <w:sz w:val="21"/>
        </w:rPr>
        <w:t>第一，产品和交易结构比“客户被列名”这一标签更有比较价值。</w:t>
      </w:r>
      <w:r>
        <w:rPr>
          <w:rFonts w:ascii="Arial" w:hAnsi="Arial" w:eastAsia="FangSong" w:cs="Arial"/>
          <w:b w:val="0"/>
          <w:i w:val="0"/>
          <w:color w:val="202124"/>
          <w:sz w:val="21"/>
        </w:rPr>
        <w:t xml:space="preserve"> 龙旗明确将列名客户对应至 Customer E，连接了 AIoT 设备、智能手机和平板电脑的销售及客户收入；天域区分美国原产 SiC 基底与中国原产外延晶圆；赛目分别披露软件销售、联合云端方案及分包服务。三者分析对象不同，不能共用一个“国产产品”结论。</w:t>
      </w:r>
    </w:p>
    <w:p>
      <w:pPr>
        <w:keepNext w:val="0"/>
        <w:spacing w:before="0" w:after="120" w:line="271" w:lineRule="auto"/>
      </w:pPr>
      <w:r>
        <w:rPr>
          <w:rFonts w:ascii="Arial" w:hAnsi="Arial" w:eastAsia="FangSong" w:cs="Arial"/>
          <w:b/>
          <w:i w:val="0"/>
          <w:color w:val="202124"/>
          <w:sz w:val="21"/>
        </w:rPr>
        <w:t>第二，披露主要通过解释产品为何不受 EAR 管辖或为何无需许可，论证历史销售的合规性。</w:t>
      </w:r>
      <w:r>
        <w:rPr>
          <w:rFonts w:ascii="Arial" w:hAnsi="Arial" w:eastAsia="FangSong" w:cs="Arial"/>
          <w:b w:val="0"/>
          <w:i w:val="0"/>
          <w:color w:val="202124"/>
          <w:sz w:val="21"/>
        </w:rPr>
        <w:t xml:space="preserve"> 珞石将 Footnote 4 客户单列，并将制造用软件和技术纳入供应商确认；琻捷分别核查自身设计与合同制造商生产过程。所选段落未展示可供另一项目援引的 BIS 许可证。</w:t>
      </w:r>
    </w:p>
    <w:p>
      <w:pPr>
        <w:keepNext w:val="0"/>
        <w:spacing w:before="0" w:after="120" w:line="271" w:lineRule="auto"/>
      </w:pPr>
      <w:r>
        <w:rPr>
          <w:rFonts w:ascii="Arial" w:hAnsi="Arial" w:eastAsia="FangSong" w:cs="Arial"/>
          <w:b/>
          <w:i w:val="0"/>
          <w:color w:val="202124"/>
          <w:sz w:val="21"/>
        </w:rPr>
        <w:t>第三，列名日期、Footnote 生效日期和交易日期应分别列示。</w:t>
      </w:r>
      <w:r>
        <w:rPr>
          <w:rFonts w:ascii="Arial" w:hAnsi="Arial" w:eastAsia="FangSong" w:cs="Arial"/>
          <w:b w:val="0"/>
          <w:i w:val="0"/>
          <w:color w:val="202124"/>
          <w:sz w:val="21"/>
        </w:rPr>
        <w:t xml:space="preserve"> 龙旗披露客户于2019年5月21日列名，研究涉及的2022年至2025年前九个月销售发生在其后；爱芯元智的 Customer 1 则于2022年10月14日停止交易，早于该客户 Footnote 4 生效。后者不能支持 Footnote 4 生效后持续供货的结论。</w:t>
      </w:r>
    </w:p>
    <w:p>
      <w:pPr>
        <w:keepNext w:val="0"/>
        <w:spacing w:before="0" w:after="120" w:line="271" w:lineRule="auto"/>
      </w:pPr>
      <w:r>
        <w:rPr>
          <w:rFonts w:ascii="Arial" w:hAnsi="Arial" w:eastAsia="FangSong" w:cs="Arial"/>
          <w:b/>
          <w:i w:val="0"/>
          <w:color w:val="202124"/>
          <w:sz w:val="21"/>
        </w:rPr>
        <w:t>第四，重大性、停止安排和法律分析各自承担不同作用。</w:t>
      </w:r>
      <w:r>
        <w:rPr>
          <w:rFonts w:ascii="Arial" w:hAnsi="Arial" w:eastAsia="FangSong" w:cs="Arial"/>
          <w:b w:val="0"/>
          <w:i w:val="0"/>
          <w:color w:val="202124"/>
          <w:sz w:val="21"/>
        </w:rPr>
        <w:t xml:space="preserve"> 赛目相关客户2022年收入占比为24.4%，且文件说明无意停止业务；琻捷相关交易低于记录期总收入的0.03%，且已停止。收入低或交易终止可以影响业务风险评估，但没有替代原文对历史交易的 EAR 分析。</w:t>
      </w:r>
    </w:p>
    <w:p>
      <w:pPr>
        <w:keepNext w:val="0"/>
        <w:spacing w:before="0" w:after="120" w:line="271" w:lineRule="auto"/>
      </w:pPr>
      <w:r>
        <w:rPr>
          <w:rFonts w:ascii="Arial" w:hAnsi="Arial" w:eastAsia="FangSong" w:cs="Arial"/>
          <w:b/>
          <w:i w:val="0"/>
          <w:color w:val="202124"/>
          <w:sz w:val="21"/>
        </w:rPr>
        <w:t>第五，最值得借鉴的是将事实、法律意见和核查依据逐项对应。</w:t>
      </w:r>
      <w:r>
        <w:rPr>
          <w:rFonts w:ascii="Arial" w:hAnsi="Arial" w:eastAsia="FangSong" w:cs="Arial"/>
          <w:b w:val="0"/>
          <w:i w:val="0"/>
          <w:color w:val="202124"/>
          <w:sz w:val="21"/>
        </w:rPr>
        <w:t xml:space="preserve"> 具体顾问身份、开发工具、生产链确认、客户表勾稽及内控实施时间，是评估历史意见适用范围的重要依据。报告逐例列明这些事实及公开披露的限制。</w:t>
      </w:r>
    </w:p>
    <w:p>
      <w:pPr>
        <w:keepNext w:val="0"/>
        <w:spacing w:before="0" w:after="120" w:line="271" w:lineRule="auto"/>
      </w:pPr>
      <w:r>
        <w:rPr>
          <w:rFonts w:ascii="Arial" w:hAnsi="Arial" w:eastAsia="FangSong" w:cs="Arial"/>
          <w:b w:val="0"/>
          <w:i w:val="0"/>
          <w:color w:val="202124"/>
          <w:sz w:val="21"/>
        </w:rPr>
        <w:t>使用说明：所引法律分析均归属于各招股书当时的事实及顾问意见。本报告不包含具体项目交易事实、当前法律意见或上市适格性结论。具体项目采用前，须由项目组及相关专业顾问复核。</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二、主要先例比较</w:t>
      </w:r>
    </w:p>
    <w:tbl>
      <w:tblPr>
        <w:tblW w:type="dxa" w:w="9751"/>
        <w:tblLayout w:type="fixed"/>
        <w:tblLook w:firstColumn="1" w:firstRow="1" w:lastColumn="0" w:lastRow="0" w:noHBand="0" w:noVBand="1" w:val="04A0"/>
        <w:jc w:val="center"/>
        <w:tblBorders>
          <w:top w:val="single" w:sz="4" w:color="D3D4D5"/>
          <w:left w:val="single" w:sz="4" w:color="D3D4D5"/>
          <w:bottom w:val="single" w:sz="4" w:color="D3D4D5"/>
          <w:right w:val="single" w:sz="4" w:color="D3D4D5"/>
          <w:insideH w:val="single" w:sz="4" w:color="D3D4D5"/>
          <w:insideV w:val="single" w:sz="4" w:color="D3D4D5"/>
        </w:tblBorders>
      </w:tblPr>
      <w:tblGrid>
        <w:gridCol w:w="1474"/>
        <w:gridCol w:w="2494"/>
        <w:gridCol w:w="2835"/>
        <w:gridCol w:w="2948"/>
      </w:tblGrid>
      <w:tr>
        <w:trPr>
          <w:tblHeader w:val="true"/>
        </w:trPr>
        <w:tc>
          <w:tcPr>
            <w:tcW w:type="dxa" w:w="147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发行人／正式招股书日期</w:t>
            </w:r>
          </w:p>
        </w:tc>
        <w:tc>
          <w:tcPr>
            <w:tcW w:type="dxa" w:w="249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向列名客户提供什么</w:t>
            </w:r>
          </w:p>
        </w:tc>
        <w:tc>
          <w:tcPr>
            <w:tcW w:type="dxa" w:w="2835"/>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交易规模及期间</w:t>
            </w:r>
          </w:p>
        </w:tc>
        <w:tc>
          <w:tcPr>
            <w:tcW w:type="dxa" w:w="294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许可分析与主要参考价值</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龙旗 09611／2026-01-14</w:t>
            </w:r>
          </w:p>
        </w:tc>
        <w:tc>
          <w:tcPr>
            <w:tcW w:type="dxa" w:w="249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ODM 产品；Customer E 客户表列明 AIoT 设备、智能手机及平板电脑</w:t>
            </w:r>
          </w:p>
        </w:tc>
        <w:tc>
          <w:tcPr>
            <w:tcW w:type="dxa" w:w="2835"/>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2022、2023、2024年及2025年前九个月收入为人民币2,166.8、1,780.1、2,609.7及1,838.0百万元（RMB million）；2019-05-21列名后交易</w:t>
            </w:r>
          </w:p>
        </w:tc>
        <w:tc>
          <w:tcPr>
            <w:tcW w:type="dxa" w:w="294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Hogan Lovells：美国原产内容不超过产品价值10%，并说明相关 FDP 不适用；可连接客户身份标签、产品表、收入和列名日</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天域 02658／2025-11-27</w:t>
            </w:r>
          </w:p>
        </w:tc>
        <w:tc>
          <w:tcPr>
            <w:tcW w:type="dxa" w:w="249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中国原产 SiC 外延晶圆，部分包含美国供应商的 SiC 基底</w:t>
            </w:r>
          </w:p>
        </w:tc>
        <w:tc>
          <w:tcPr>
            <w:tcW w:type="dxa" w:w="2835"/>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2022／2023年人民币3.8／0.6百万元（RMB million），占0.9%／0.1%；2023年7月停止</w:t>
            </w:r>
          </w:p>
        </w:tc>
        <w:tc>
          <w:tcPr>
            <w:tcW w:type="dxa" w:w="294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Hogan Lovells：结合基底 EAR99、成品原产地、FDPR及境内履行判断无需许可；适合原料与成品分层分析</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赛目 02571／2024-12-31</w:t>
            </w:r>
          </w:p>
        </w:tc>
        <w:tc>
          <w:tcPr>
            <w:tcW w:type="dxa" w:w="249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ICV 仿真测试软件、联合云端仿真方案、测试及咨询；另作为客户分包商服务终端用户</w:t>
            </w:r>
          </w:p>
        </w:tc>
        <w:tc>
          <w:tcPr>
            <w:tcW w:type="dxa" w:w="2835"/>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2021、2022、2023年及2024上半年收入占7.2%、24.4%、7.5%及0.9%；文件说明无意停止</w:t>
            </w:r>
          </w:p>
        </w:tc>
        <w:tc>
          <w:tcPr>
            <w:tcW w:type="dxa" w:w="294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King &amp; Wood Mallesons：审阅开发工具、ECCN及 mass-market 条件；适合软件和服务模式</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珞石 03752／2026-06-30</w:t>
            </w:r>
          </w:p>
        </w:tc>
        <w:tc>
          <w:tcPr>
            <w:tcW w:type="dxa" w:w="249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中国制造机器人产品；未按列名客户披露型号</w:t>
            </w:r>
          </w:p>
        </w:tc>
        <w:tc>
          <w:tcPr>
            <w:tcW w:type="dxa" w:w="2835"/>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17名 Entity List 客户2023／2024／2025年占2.8%／0.4%／1.7%；其中5名 Footnote 4 客户占0.4%／0.1%／0.2%</w:t>
            </w:r>
          </w:p>
        </w:tc>
        <w:tc>
          <w:tcPr>
            <w:tcW w:type="dxa" w:w="294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King &amp; Wood：采购物项、成品组件／捆绑软件、制造技术三层分析；Footnote 4 子集及供应商确认较明确</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琻捷 06675／2026-06-09</w:t>
            </w:r>
          </w:p>
        </w:tc>
        <w:tc>
          <w:tcPr>
            <w:tcW w:type="dxa" w:w="249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向一名列名客户销售非美国原产 EAR99／3A991 产品；具体芯片型号未单列</w:t>
            </w:r>
          </w:p>
        </w:tc>
        <w:tc>
          <w:tcPr>
            <w:tcW w:type="dxa" w:w="2835"/>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低于2023至2025年记录期总收入的0.03%；至2026-06-01已停止</w:t>
            </w:r>
          </w:p>
        </w:tc>
        <w:tc>
          <w:tcPr>
            <w:tcW w:type="dxa" w:w="294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DLA Piper Singapore：分别核查自身设计及合同制造商过程；适合 fabless 模式和顾问／保荐人核查分工</w:t>
            </w:r>
          </w:p>
        </w:tc>
      </w:tr>
    </w:tbl>
    <w:p>
      <w:pPr>
        <w:keepNext w:val="0"/>
        <w:spacing w:before="0" w:after="60" w:line="271" w:lineRule="auto"/>
      </w:pPr>
    </w:p>
    <w:p>
      <w:pPr>
        <w:keepNext w:val="0"/>
        <w:spacing w:before="0" w:after="120" w:line="271" w:lineRule="auto"/>
      </w:pPr>
      <w:r>
        <w:rPr>
          <w:rFonts w:ascii="Arial" w:hAnsi="Arial" w:eastAsia="FangSong" w:cs="Arial"/>
          <w:b w:val="0"/>
          <w:i w:val="0"/>
          <w:color w:val="3B3D40"/>
          <w:sz w:val="18"/>
        </w:rPr>
        <w:t>来源：各发行人正式招股书；主要证据页及完整官方链接见逐例分析和附录。五家均有实际客户销售披露，但相关段落未同时提供逐客 Footnote、产品参数和完整订单时间线，不宜视为可直接套用的交易级法律先例。</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三、交易规模与持续性</w:t>
      </w:r>
    </w:p>
    <w:p>
      <w:pPr>
        <w:keepNext/>
        <w:spacing w:before="220" w:after="100" w:line="240" w:lineRule="auto"/>
      </w:pPr>
      <w:r>
        <w:rPr>
          <w:rFonts w:ascii="Arial" w:hAnsi="Arial" w:eastAsia="FangSong" w:cs="Arial"/>
          <w:b/>
          <w:i w:val="0"/>
          <w:color w:val="202124"/>
          <w:sz w:val="25"/>
        </w:rPr>
        <w:t>3.1 收入应与客户、期间和统计范围同时阅读</w:t>
      </w:r>
    </w:p>
    <w:tbl>
      <w:tblPr>
        <w:tblW w:type="dxa" w:w="9751"/>
        <w:tblLayout w:type="fixed"/>
        <w:tblLook w:firstColumn="1" w:firstRow="1" w:lastColumn="0" w:lastRow="0" w:noHBand="0" w:noVBand="1" w:val="04A0"/>
        <w:jc w:val="center"/>
        <w:tblBorders>
          <w:top w:val="single" w:sz="4" w:color="D3D4D5"/>
          <w:left w:val="single" w:sz="4" w:color="D3D4D5"/>
          <w:bottom w:val="single" w:sz="4" w:color="D3D4D5"/>
          <w:right w:val="single" w:sz="4" w:color="D3D4D5"/>
          <w:insideH w:val="single" w:sz="4" w:color="D3D4D5"/>
          <w:insideV w:val="single" w:sz="4" w:color="D3D4D5"/>
        </w:tblBorders>
      </w:tblPr>
      <w:tblGrid>
        <w:gridCol w:w="1871"/>
        <w:gridCol w:w="1814"/>
        <w:gridCol w:w="2608"/>
        <w:gridCol w:w="3458"/>
      </w:tblGrid>
      <w:tr>
        <w:trPr>
          <w:tblHeader w:val="true"/>
        </w:trPr>
        <w:tc>
          <w:tcPr>
            <w:tcW w:type="dxa" w:w="187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发行人／客户范围</w:t>
            </w:r>
          </w:p>
        </w:tc>
        <w:tc>
          <w:tcPr>
            <w:tcW w:type="dxa" w:w="181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期间顺序</w:t>
            </w:r>
          </w:p>
        </w:tc>
        <w:tc>
          <w:tcPr>
            <w:tcW w:type="dxa" w:w="260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收入：人民币百万元（RMB million）</w:t>
            </w:r>
          </w:p>
        </w:tc>
        <w:tc>
          <w:tcPr>
            <w:tcW w:type="dxa" w:w="345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占发行人同期收入</w:t>
            </w:r>
          </w:p>
        </w:tc>
      </w:tr>
      <w:tr>
        <w:trPr>
          <w:cantSplit/>
        </w:trPr>
        <w:tc>
          <w:tcPr>
            <w:tcW w:type="dxa" w:w="187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龙旗／Customer E</w:t>
            </w:r>
          </w:p>
        </w:tc>
        <w:tc>
          <w:tcPr>
            <w:tcW w:type="dxa" w:w="181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2022、2023、2024、2025年前九个月</w:t>
            </w:r>
          </w:p>
        </w:tc>
        <w:tc>
          <w:tcPr>
            <w:tcW w:type="dxa" w:w="260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2,166.8／1,780.1／2,609.7／1,838.0</w:t>
            </w:r>
          </w:p>
        </w:tc>
        <w:tc>
          <w:tcPr>
            <w:tcW w:type="dxa" w:w="345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2022至2024年：7.4%／6.5%／5.6%；2025年前九个月占比未在所引客户行单列</w:t>
            </w:r>
          </w:p>
        </w:tc>
      </w:tr>
      <w:tr>
        <w:trPr>
          <w:cantSplit/>
        </w:trPr>
        <w:tc>
          <w:tcPr>
            <w:tcW w:type="dxa" w:w="187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天域／列名客户合计</w:t>
            </w:r>
          </w:p>
        </w:tc>
        <w:tc>
          <w:tcPr>
            <w:tcW w:type="dxa" w:w="181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2022、2023、2024、2025年前五个月</w:t>
            </w:r>
          </w:p>
        </w:tc>
        <w:tc>
          <w:tcPr>
            <w:tcW w:type="dxa" w:w="260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3.8／0.6／零／零</w:t>
            </w:r>
          </w:p>
        </w:tc>
        <w:tc>
          <w:tcPr>
            <w:tcW w:type="dxa" w:w="345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0.9%／0.1%／零／零</w:t>
            </w:r>
          </w:p>
        </w:tc>
      </w:tr>
      <w:tr>
        <w:trPr>
          <w:cantSplit/>
        </w:trPr>
        <w:tc>
          <w:tcPr>
            <w:tcW w:type="dxa" w:w="187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赛目／Relevant Customer</w:t>
            </w:r>
          </w:p>
        </w:tc>
        <w:tc>
          <w:tcPr>
            <w:tcW w:type="dxa" w:w="181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2021、2022、2023、2024上半年</w:t>
            </w:r>
          </w:p>
        </w:tc>
        <w:tc>
          <w:tcPr>
            <w:tcW w:type="dxa" w:w="260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7.7／35.5／13.1／0.5</w:t>
            </w:r>
          </w:p>
        </w:tc>
        <w:tc>
          <w:tcPr>
            <w:tcW w:type="dxa" w:w="345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7.2%／24.4%／7.5%／0.9%</w:t>
            </w:r>
          </w:p>
        </w:tc>
      </w:tr>
      <w:tr>
        <w:trPr>
          <w:cantSplit/>
        </w:trPr>
        <w:tc>
          <w:tcPr>
            <w:tcW w:type="dxa" w:w="187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珞石／17名列名客户</w:t>
            </w:r>
          </w:p>
        </w:tc>
        <w:tc>
          <w:tcPr>
            <w:tcW w:type="dxa" w:w="181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2023、2024、2025</w:t>
            </w:r>
          </w:p>
        </w:tc>
        <w:tc>
          <w:tcPr>
            <w:tcW w:type="dxa" w:w="260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相关段落未列绝对金额</w:t>
            </w:r>
          </w:p>
        </w:tc>
        <w:tc>
          <w:tcPr>
            <w:tcW w:type="dxa" w:w="345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2.8%／0.4%／1.7%</w:t>
            </w:r>
          </w:p>
        </w:tc>
      </w:tr>
      <w:tr>
        <w:trPr>
          <w:cantSplit/>
        </w:trPr>
        <w:tc>
          <w:tcPr>
            <w:tcW w:type="dxa" w:w="187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珞石／上述客户中的5名 Footnote 4 客户</w:t>
            </w:r>
          </w:p>
        </w:tc>
        <w:tc>
          <w:tcPr>
            <w:tcW w:type="dxa" w:w="181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2023、2024、2025</w:t>
            </w:r>
          </w:p>
        </w:tc>
        <w:tc>
          <w:tcPr>
            <w:tcW w:type="dxa" w:w="260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相关段落未列绝对金额</w:t>
            </w:r>
          </w:p>
        </w:tc>
        <w:tc>
          <w:tcPr>
            <w:tcW w:type="dxa" w:w="345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0.4%／0.1%／0.2%</w:t>
            </w:r>
          </w:p>
        </w:tc>
      </w:tr>
      <w:tr>
        <w:trPr>
          <w:cantSplit/>
        </w:trPr>
        <w:tc>
          <w:tcPr>
            <w:tcW w:type="dxa" w:w="187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琻捷／一名列名客户</w:t>
            </w:r>
          </w:p>
        </w:tc>
        <w:tc>
          <w:tcPr>
            <w:tcW w:type="dxa" w:w="181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2023至2025年记录期整体</w:t>
            </w:r>
          </w:p>
        </w:tc>
        <w:tc>
          <w:tcPr>
            <w:tcW w:type="dxa" w:w="260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相关段落未列绝对金额</w:t>
            </w:r>
          </w:p>
        </w:tc>
        <w:tc>
          <w:tcPr>
            <w:tcW w:type="dxa" w:w="345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低于记录期总收入0.03%；并非逐年比例</w:t>
            </w:r>
          </w:p>
        </w:tc>
      </w:tr>
    </w:tbl>
    <w:p>
      <w:pPr>
        <w:keepNext w:val="0"/>
        <w:spacing w:before="0" w:after="60" w:line="271" w:lineRule="auto"/>
      </w:pPr>
    </w:p>
    <w:p>
      <w:pPr>
        <w:keepNext w:val="0"/>
        <w:spacing w:before="0" w:after="120" w:line="271" w:lineRule="auto"/>
      </w:pPr>
      <w:r>
        <w:rPr>
          <w:rFonts w:ascii="Arial" w:hAnsi="Arial" w:eastAsia="FangSong" w:cs="Arial"/>
          <w:b w:val="0"/>
          <w:i w:val="0"/>
          <w:color w:val="202124"/>
          <w:sz w:val="21"/>
        </w:rPr>
        <w:t>龙旗客户表以人民币千元列示，而制裁章节以人民币百万元四舍五入列示。例如，2024年 Customer E 为人民币2,609.680百万元（RMB million），制裁段为约2,609.7百万元；系列示精度差异。未以这些数据推算未披露的逐笔销售额、毛利或许可证金额。</w:t>
      </w:r>
    </w:p>
    <w:p>
      <w:pPr>
        <w:keepNext/>
        <w:spacing w:before="220" w:after="100" w:line="240" w:lineRule="auto"/>
      </w:pPr>
      <w:r>
        <w:rPr>
          <w:rFonts w:ascii="Arial" w:hAnsi="Arial" w:eastAsia="FangSong" w:cs="Arial"/>
          <w:b/>
          <w:i w:val="0"/>
          <w:color w:val="202124"/>
          <w:sz w:val="25"/>
        </w:rPr>
        <w:t>3.2 继续交易与终止交易的披露方式不同</w:t>
      </w:r>
    </w:p>
    <w:p>
      <w:pPr>
        <w:keepNext w:val="0"/>
        <w:spacing w:before="0" w:after="120" w:line="271" w:lineRule="auto"/>
      </w:pPr>
      <w:r>
        <w:rPr>
          <w:rFonts w:ascii="Arial" w:hAnsi="Arial" w:eastAsia="FangSong" w:cs="Arial"/>
          <w:b/>
          <w:i w:val="0"/>
          <w:color w:val="202124"/>
          <w:sz w:val="21"/>
        </w:rPr>
        <w:t>继续交易：</w:t>
      </w:r>
      <w:r>
        <w:rPr>
          <w:rFonts w:ascii="Arial" w:hAnsi="Arial" w:eastAsia="FangSong" w:cs="Arial"/>
          <w:b w:val="0"/>
          <w:i w:val="0"/>
          <w:color w:val="202124"/>
          <w:sz w:val="21"/>
        </w:rPr>
        <w:t xml:space="preserve"> 赛目将无需 BIS 许可的律师分析与“无意停止”业务、持续监测开发工具及合同审查放在一起。龙旗披露至2025年前九个月的销售；所引段落未披露已停止该客户业务，但这不等于对未来订单作出许可承诺。</w:t>
      </w:r>
    </w:p>
    <w:p>
      <w:pPr>
        <w:keepNext w:val="0"/>
        <w:spacing w:before="0" w:after="120" w:line="271" w:lineRule="auto"/>
      </w:pPr>
      <w:r>
        <w:rPr>
          <w:rFonts w:ascii="Arial" w:hAnsi="Arial" w:eastAsia="FangSong" w:cs="Arial"/>
          <w:b/>
          <w:i w:val="0"/>
          <w:color w:val="202124"/>
          <w:sz w:val="21"/>
        </w:rPr>
        <w:t>已停止：</w:t>
      </w:r>
      <w:r>
        <w:rPr>
          <w:rFonts w:ascii="Arial" w:hAnsi="Arial" w:eastAsia="FangSong" w:cs="Arial"/>
          <w:b w:val="0"/>
          <w:i w:val="0"/>
          <w:color w:val="202124"/>
          <w:sz w:val="21"/>
        </w:rPr>
        <w:t xml:space="preserve"> 天域给出2023年7月；琻捷给出截至 LPD 已完成、没有未结应付款或待交付事项，并由董事确认不再交易。爱芯元智则分别写明两个客户的停止日／最后订单月份。</w:t>
      </w:r>
    </w:p>
    <w:p>
      <w:pPr>
        <w:keepNext w:val="0"/>
        <w:spacing w:before="0" w:after="120" w:line="271" w:lineRule="auto"/>
      </w:pPr>
      <w:r>
        <w:rPr>
          <w:rFonts w:ascii="Arial" w:hAnsi="Arial" w:eastAsia="FangSong" w:cs="Arial"/>
          <w:b/>
          <w:i w:val="0"/>
          <w:color w:val="202124"/>
          <w:sz w:val="21"/>
        </w:rPr>
        <w:t>政策变更：</w:t>
      </w:r>
      <w:r>
        <w:rPr>
          <w:rFonts w:ascii="Arial" w:hAnsi="Arial" w:eastAsia="FangSong" w:cs="Arial"/>
          <w:b w:val="0"/>
          <w:i w:val="0"/>
          <w:color w:val="202124"/>
          <w:sz w:val="21"/>
        </w:rPr>
        <w:t xml:space="preserve"> 珞石既有记录期销售，也有2025年加强的筛查及禁止合作政策。历史销售额、后续政策和逐客执行情况需要分开理解，不能将后来的制度追溯描述为整个记录期一直有效。</w:t>
      </w:r>
    </w:p>
    <w:p>
      <w:pPr>
        <w:keepNext w:val="0"/>
        <w:spacing w:before="0" w:after="120" w:line="271" w:lineRule="auto"/>
      </w:pPr>
      <w:r>
        <w:rPr>
          <w:rFonts w:ascii="Arial" w:hAnsi="Arial" w:eastAsia="FangSong" w:cs="Arial"/>
          <w:b w:val="0"/>
          <w:i w:val="0"/>
          <w:color w:val="3B3D40"/>
          <w:sz w:val="18"/>
        </w:rPr>
        <w:t>来源：龙旗 PDF242至244、273；天域 PDF331；赛目 PDF69、360、364；珞石 PDF186至189；琻捷 PDF46、185；爱芯元智 PDF135。</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四、EAR 与许可分析：先例实际论证了什么</w:t>
      </w:r>
    </w:p>
    <w:p>
      <w:pPr>
        <w:keepNext w:val="0"/>
        <w:spacing w:before="0" w:after="120" w:line="271" w:lineRule="auto"/>
      </w:pPr>
      <w:r>
        <w:rPr>
          <w:rFonts w:ascii="Arial" w:hAnsi="Arial" w:eastAsia="FangSong" w:cs="Arial"/>
          <w:b w:val="0"/>
          <w:i w:val="0"/>
          <w:color w:val="202124"/>
          <w:sz w:val="21"/>
        </w:rPr>
        <w:t>下列为对招股书历史论证的归纳，用于比较披露内容，不是本报告对现行规则的独立解释。</w:t>
      </w:r>
    </w:p>
    <w:tbl>
      <w:tblPr>
        <w:tblW w:type="dxa" w:w="9751"/>
        <w:tblLayout w:type="fixed"/>
        <w:tblLook w:firstColumn="1" w:firstRow="1" w:lastColumn="0" w:lastRow="0" w:noHBand="0" w:noVBand="1" w:val="04A0"/>
        <w:jc w:val="center"/>
        <w:tblBorders>
          <w:top w:val="single" w:sz="4" w:color="D3D4D5"/>
          <w:left w:val="single" w:sz="4" w:color="D3D4D5"/>
          <w:bottom w:val="single" w:sz="4" w:color="D3D4D5"/>
          <w:right w:val="single" w:sz="4" w:color="D3D4D5"/>
          <w:insideH w:val="single" w:sz="4" w:color="D3D4D5"/>
          <w:insideV w:val="single" w:sz="4" w:color="D3D4D5"/>
        </w:tblBorders>
      </w:tblPr>
      <w:tblGrid>
        <w:gridCol w:w="1701"/>
        <w:gridCol w:w="3458"/>
        <w:gridCol w:w="4592"/>
      </w:tblGrid>
      <w:tr>
        <w:trPr>
          <w:tblHeader w:val="true"/>
        </w:trPr>
        <w:tc>
          <w:tcPr>
            <w:tcW w:type="dxa" w:w="170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分析层次</w:t>
            </w:r>
          </w:p>
        </w:tc>
        <w:tc>
          <w:tcPr>
            <w:tcW w:type="dxa" w:w="345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原文所采用的事实依据</w:t>
            </w:r>
          </w:p>
        </w:tc>
        <w:tc>
          <w:tcPr>
            <w:tcW w:type="dxa" w:w="4592"/>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代表先例／适用限制</w:t>
            </w:r>
          </w:p>
        </w:tc>
      </w:tr>
      <w:tr>
        <w:trPr>
          <w:cantSplit/>
        </w:trPr>
        <w:tc>
          <w:tcPr>
            <w:tcW w:type="dxa" w:w="170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谁是交易对方</w:t>
            </w:r>
          </w:p>
        </w:tc>
        <w:tc>
          <w:tcPr>
            <w:tcW w:type="dxa" w:w="345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列名主体或匿名客户标签、列名日、交易方向、特定 Footnote</w:t>
            </w:r>
          </w:p>
        </w:tc>
        <w:tc>
          <w:tcPr>
            <w:tcW w:type="dxa" w:w="4592"/>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龙旗把 Entity List 客户明确对应至 Customer E；珞石另列 Footnote 4 子集。不同文件中的 Customer E、A或B不能据此认作同一主体</w:t>
            </w:r>
          </w:p>
        </w:tc>
      </w:tr>
      <w:tr>
        <w:trPr>
          <w:cantSplit/>
        </w:trPr>
        <w:tc>
          <w:tcPr>
            <w:tcW w:type="dxa" w:w="170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实际提供的物项或服务</w:t>
            </w:r>
          </w:p>
        </w:tc>
        <w:tc>
          <w:tcPr>
            <w:tcW w:type="dxa" w:w="345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成品、原料、软件、开发工具、制造技术、数据和服务分别辨识</w:t>
            </w:r>
          </w:p>
        </w:tc>
        <w:tc>
          <w:tcPr>
            <w:tcW w:type="dxa" w:w="4592"/>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赛目销售的是软件及服务，开发工具用于自身开发；天域销售的是外延晶圆，基底是上游投入</w:t>
            </w:r>
          </w:p>
        </w:tc>
      </w:tr>
      <w:tr>
        <w:trPr>
          <w:cantSplit/>
        </w:trPr>
        <w:tc>
          <w:tcPr>
            <w:tcW w:type="dxa" w:w="170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De minimis 分析</w:t>
            </w:r>
          </w:p>
        </w:tc>
        <w:tc>
          <w:tcPr>
            <w:tcW w:type="dxa" w:w="345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美国原产受控内容与外国制成品之间的关系、含量及适用条件</w:t>
            </w:r>
          </w:p>
        </w:tc>
        <w:tc>
          <w:tcPr>
            <w:tcW w:type="dxa" w:w="4592"/>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龙旗披露美国原产内容不超过产品价值10%，并结合其他事实作结论；10%是该文件事实，不能写为所有产品／客户统一适用的安全线</w:t>
            </w:r>
          </w:p>
        </w:tc>
      </w:tr>
      <w:tr>
        <w:trPr>
          <w:cantSplit/>
        </w:trPr>
        <w:tc>
          <w:tcPr>
            <w:tcW w:type="dxa" w:w="170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FDP／FDPR 分析</w:t>
            </w:r>
          </w:p>
        </w:tc>
        <w:tc>
          <w:tcPr>
            <w:tcW w:type="dxa" w:w="345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开发或制造所用软件／技术、适用 ECCN、直接产品关系和相关范围</w:t>
            </w:r>
          </w:p>
        </w:tc>
        <w:tc>
          <w:tcPr>
            <w:tcW w:type="dxa" w:w="4592"/>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赛目承认产品可能是美国软件／技术的直接产品，再分析为何不落入适用范围；不能删除“可能”而写成完全没有美国技术连接</w:t>
            </w:r>
          </w:p>
        </w:tc>
      </w:tr>
      <w:tr>
        <w:trPr>
          <w:cantSplit/>
        </w:trPr>
        <w:tc>
          <w:tcPr>
            <w:tcW w:type="dxa" w:w="170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合同制造环节</w:t>
            </w:r>
          </w:p>
        </w:tc>
        <w:tc>
          <w:tcPr>
            <w:tcW w:type="dxa" w:w="345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谁实际生产列名客户所购产品、制造使用了什么</w:t>
            </w:r>
          </w:p>
        </w:tc>
        <w:tc>
          <w:tcPr>
            <w:tcW w:type="dxa" w:w="4592"/>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琻捷分别核实自身设计与外包制造；珞石取得自身及供应商对制造用软件／技术的确认</w:t>
            </w:r>
          </w:p>
        </w:tc>
      </w:tr>
      <w:tr>
        <w:trPr>
          <w:cantSplit/>
        </w:trPr>
        <w:tc>
          <w:tcPr>
            <w:tcW w:type="dxa" w:w="170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最终许可结论</w:t>
            </w:r>
          </w:p>
        </w:tc>
        <w:tc>
          <w:tcPr>
            <w:tcW w:type="dxa" w:w="345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不受 EAR、无需许可、未违反 EAR、董事重大性判断分别归属</w:t>
            </w:r>
          </w:p>
        </w:tc>
        <w:tc>
          <w:tcPr>
            <w:tcW w:type="dxa" w:w="4592"/>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不受 EAR 的结论与取得 BIS 许可是两种路径；董事认为无重大不利影响也不等于律师签发许可意见</w:t>
            </w:r>
          </w:p>
        </w:tc>
      </w:tr>
    </w:tbl>
    <w:p>
      <w:pPr>
        <w:keepNext w:val="0"/>
        <w:spacing w:before="0" w:after="60" w:line="271" w:lineRule="auto"/>
      </w:pPr>
    </w:p>
    <w:p>
      <w:pPr>
        <w:keepNext w:val="0"/>
        <w:spacing w:before="0" w:after="120" w:line="271" w:lineRule="auto"/>
      </w:pPr>
      <w:r>
        <w:rPr>
          <w:rFonts w:ascii="Arial" w:hAnsi="Arial" w:eastAsia="FangSong" w:cs="Arial"/>
          <w:b/>
          <w:i w:val="0"/>
          <w:color w:val="202124"/>
          <w:sz w:val="21"/>
        </w:rPr>
        <w:t>EAR99 的用法须保留上下文。</w:t>
      </w:r>
      <w:r>
        <w:rPr>
          <w:rFonts w:ascii="Arial" w:hAnsi="Arial" w:eastAsia="FangSong" w:cs="Arial"/>
          <w:b w:val="0"/>
          <w:i w:val="0"/>
          <w:color w:val="202124"/>
          <w:sz w:val="21"/>
        </w:rPr>
        <w:t xml:space="preserve"> 天域在同页明确描述上游基底属于 subject to the EAR、分类 EAR99，再对中国原产成品及交易给出无需许可的意见。琻捷先叙述对中国非受制裁实体供应的一般情形，随后才就列名客户作 de minimis 及 FDPR 分析。两者均不支持“EAR99一律不受EAR”或“EAR99可不经分析供给任何列名客户”。</w:t>
      </w:r>
    </w:p>
    <w:p>
      <w:pPr>
        <w:keepNext w:val="0"/>
        <w:spacing w:before="0" w:after="120" w:line="271" w:lineRule="auto"/>
      </w:pPr>
      <w:r>
        <w:rPr>
          <w:rFonts w:ascii="Arial" w:hAnsi="Arial" w:eastAsia="FangSong" w:cs="Arial"/>
          <w:b/>
          <w:i w:val="0"/>
          <w:color w:val="202124"/>
          <w:sz w:val="21"/>
        </w:rPr>
        <w:t>收入占比与交易合法性分开表达。</w:t>
      </w:r>
      <w:r>
        <w:rPr>
          <w:rFonts w:ascii="Arial" w:hAnsi="Arial" w:eastAsia="FangSong" w:cs="Arial"/>
          <w:b w:val="0"/>
          <w:i w:val="0"/>
          <w:color w:val="202124"/>
          <w:sz w:val="21"/>
        </w:rPr>
        <w:t xml:space="preserve"> 金额和集中度用于衡量财务及业务影响；许可分析仍须以相关物项、客户和交易时点为对象。所选先例没有给出可由收入占比替代许可要求的规则。</w:t>
      </w:r>
    </w:p>
    <w:p>
      <w:pPr>
        <w:keepNext w:val="0"/>
        <w:spacing w:before="0" w:after="120" w:line="271" w:lineRule="auto"/>
      </w:pPr>
      <w:r>
        <w:rPr>
          <w:rFonts w:ascii="Arial" w:hAnsi="Arial" w:eastAsia="FangSong" w:cs="Arial"/>
          <w:b w:val="0"/>
          <w:i w:val="0"/>
          <w:color w:val="3B3D40"/>
          <w:sz w:val="18"/>
        </w:rPr>
        <w:t>来源：龙旗 PDF272至273；天域 PDF331；赛目 PDF360至362；珞石 PDF186至187；琻捷 PDF184至186；爱芯元智 PDF134至136。</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五、龙旗：客户表与制裁披露可以直接勾稽</w:t>
      </w:r>
    </w:p>
    <w:tbl>
      <w:tblPr>
        <w:tblW w:type="dxa" w:w="9751"/>
        <w:jc w:val="center"/>
        <w:tblLayout w:type="fixed"/>
        <w:tblLook w:firstColumn="1" w:firstRow="1" w:lastColumn="0" w:lastRow="0" w:noHBand="0" w:noVBand="1" w:val="04A0"/>
        <w:tblBorders>
          <w:top w:val="single" w:sz="4" w:color="D3D4D5"/>
          <w:left w:val="single" w:sz="4" w:color="D3D4D5"/>
          <w:bottom w:val="single" w:sz="4" w:color="D3D4D5"/>
          <w:right w:val="single" w:sz="4" w:color="D3D4D5"/>
          <w:insideH w:val="single" w:sz="4" w:color="D3D4D5"/>
          <w:insideV w:val="single" w:sz="4" w:color="D3D4D5"/>
        </w:tblBorders>
      </w:tblPr>
      <w:tblGrid>
        <w:gridCol w:w="2891"/>
        <w:gridCol w:w="6860"/>
      </w:tblGrid>
      <w:tr>
        <w:trPr>
          <w:tblHeader w:val="true"/>
        </w:trPr>
        <w:tc>
          <w:tcPr>
            <w:tcW w:type="dxa" w:w="289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w:t>
            </w:r>
          </w:p>
        </w:tc>
        <w:tc>
          <w:tcPr>
            <w:tcW w:type="dxa" w:w="6860"/>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文件及顾问</w:t>
            </w:r>
          </w:p>
        </w:tc>
      </w:tr>
      <w:tr>
        <w:trPr>
          <w:cantSplit/>
        </w:trPr>
        <w:tc>
          <w:tcPr>
            <w:tcW w:type="dxa" w:w="2891"/>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上海龍旗科技股份有限公司 / Shanghai Longcheer Technology Co., Ltd. / 09611</w:t>
            </w:r>
          </w:p>
        </w:tc>
        <w:tc>
          <w:tcPr>
            <w:tcW w:type="dxa" w:w="6860"/>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英文《Global Offering》正式招股书：2026年1月14日；LPD：2026年1月5日。制裁顾问：Hogan Lovells（定义页 PDF39／印刷29）。</w:t>
            </w:r>
          </w:p>
        </w:tc>
      </w:tr>
    </w:tbl>
    <w:p>
      <w:pPr>
        <w:keepNext w:val="0"/>
        <w:spacing w:before="0" w:after="40" w:line="271" w:lineRule="auto"/>
      </w:pPr>
    </w:p>
    <w:p>
      <w:pPr>
        <w:keepNext/>
        <w:spacing w:before="220" w:after="100" w:line="240" w:lineRule="auto"/>
      </w:pPr>
      <w:r>
        <w:rPr>
          <w:rFonts w:ascii="Arial" w:hAnsi="Arial" w:eastAsia="FangSong" w:cs="Arial"/>
          <w:b/>
          <w:i w:val="0"/>
          <w:color w:val="202124"/>
          <w:sz w:val="25"/>
        </w:rPr>
        <w:t>5.1 实际交易及客户身份</w:t>
      </w:r>
    </w:p>
    <w:p>
      <w:pPr>
        <w:keepNext w:val="0"/>
        <w:spacing w:before="0" w:after="120" w:line="271" w:lineRule="auto"/>
      </w:pPr>
      <w:r>
        <w:rPr>
          <w:rFonts w:ascii="Arial" w:hAnsi="Arial" w:eastAsia="FangSong" w:cs="Arial"/>
          <w:b w:val="0"/>
          <w:i w:val="0"/>
          <w:color w:val="202124"/>
          <w:sz w:val="21"/>
        </w:rPr>
        <w:t xml:space="preserve">制裁章节明确将 Entity List Customer 对应至销售章节的 </w:t>
      </w:r>
      <w:r>
        <w:rPr>
          <w:rFonts w:ascii="Arial" w:hAnsi="Arial" w:eastAsia="FangSong" w:cs="Arial"/>
          <w:b/>
          <w:i w:val="0"/>
          <w:color w:val="202124"/>
          <w:sz w:val="21"/>
        </w:rPr>
        <w:t>Customer E</w:t>
      </w:r>
      <w:r>
        <w:rPr>
          <w:rFonts w:ascii="Arial" w:hAnsi="Arial" w:eastAsia="FangSong" w:cs="Arial"/>
          <w:b w:val="0"/>
          <w:i w:val="0"/>
          <w:color w:val="202124"/>
          <w:sz w:val="21"/>
        </w:rPr>
        <w:t>。该客户被描述为 ICT 解决方案及智能设备产品的公众公司，自2016年开始合作。2022至2024年的客户表列明其购买 AIoT devices、smartphones and tablets，因而可以在同一文件内把匿名客户、产品类别及收入对应起来；原文未公布真实名称，本报告不据行业特征或列名日期反向推定。</w:t>
      </w:r>
    </w:p>
    <w:p>
      <w:pPr>
        <w:keepNext w:val="0"/>
        <w:spacing w:before="0" w:after="120" w:line="271" w:lineRule="auto"/>
      </w:pPr>
      <w:r>
        <w:rPr>
          <w:rFonts w:ascii="Arial" w:hAnsi="Arial" w:eastAsia="FangSong" w:cs="Arial"/>
          <w:b w:val="0"/>
          <w:i w:val="0"/>
          <w:color w:val="202124"/>
          <w:sz w:val="21"/>
        </w:rPr>
        <w:t>相关客户于</w:t>
      </w:r>
      <w:r>
        <w:rPr>
          <w:rFonts w:ascii="Arial" w:hAnsi="Arial" w:eastAsia="FangSong" w:cs="Arial"/>
          <w:b/>
          <w:i w:val="0"/>
          <w:color w:val="202124"/>
          <w:sz w:val="21"/>
        </w:rPr>
        <w:t>2019年5月21日</w:t>
      </w:r>
      <w:r>
        <w:rPr>
          <w:rFonts w:ascii="Arial" w:hAnsi="Arial" w:eastAsia="FangSong" w:cs="Arial"/>
          <w:b w:val="0"/>
          <w:i w:val="0"/>
          <w:color w:val="202124"/>
          <w:sz w:val="21"/>
        </w:rPr>
        <w:t>被列入 Entity List。2022、2023、2024年及2025年前九个月收入分别约为人民币2,166.8、1,780.1、2,609.7及1,838.0百万元（RMB million）。文件明确所有这些交易均以人民币计价、不涉及出口。该事实说明这些是列名后交易，但未提供逐笔订单、交付及最终用户清单。</w:t>
      </w:r>
    </w:p>
    <w:p>
      <w:pPr>
        <w:keepNext w:val="0"/>
        <w:spacing w:before="0" w:after="120" w:line="271" w:lineRule="auto"/>
      </w:pPr>
      <w:r>
        <w:rPr>
          <w:rFonts w:ascii="Arial" w:hAnsi="Arial" w:eastAsia="FangSong" w:cs="Arial"/>
          <w:b/>
          <w:i w:val="0"/>
          <w:color w:val="202124"/>
          <w:sz w:val="21"/>
        </w:rPr>
        <w:t>同一客户还具有供应商角色。</w:t>
      </w:r>
      <w:r>
        <w:rPr>
          <w:rFonts w:ascii="Arial" w:hAnsi="Arial" w:eastAsia="FangSong" w:cs="Arial"/>
          <w:b w:val="0"/>
          <w:i w:val="0"/>
          <w:color w:val="202124"/>
          <w:sz w:val="21"/>
        </w:rPr>
        <w:t xml:space="preserve"> 重叠客户／供应商章节说明，公司向 Customer E 采购技术开发、过剩及呆滞存货、培训服务。该往来须与向其销售 ODM 成品分开；其他客户提供的存储器、屏幕等部件不应归属于 Customer E，也不能据集团普遍采用 Buy &amp; Sell 模式，就认定该客户供给全部生产原料。</w:t>
      </w:r>
    </w:p>
    <w:p>
      <w:pPr>
        <w:keepNext/>
        <w:spacing w:before="220" w:after="100" w:line="240" w:lineRule="auto"/>
      </w:pPr>
      <w:r>
        <w:rPr>
          <w:rFonts w:ascii="Arial" w:hAnsi="Arial" w:eastAsia="FangSong" w:cs="Arial"/>
          <w:b/>
          <w:i w:val="0"/>
          <w:color w:val="202124"/>
          <w:sz w:val="25"/>
        </w:rPr>
        <w:t>5.2 顾问分析及披露安排</w:t>
      </w:r>
    </w:p>
    <w:p>
      <w:pPr>
        <w:keepNext w:val="0"/>
        <w:spacing w:before="0" w:after="120" w:line="271" w:lineRule="auto"/>
      </w:pPr>
      <w:r>
        <w:rPr>
          <w:rFonts w:ascii="Arial" w:hAnsi="Arial" w:eastAsia="FangSong" w:cs="Arial"/>
          <w:b w:val="0"/>
          <w:i w:val="0"/>
          <w:color w:val="202124"/>
          <w:sz w:val="21"/>
        </w:rPr>
        <w:t>Hogan Lovells 的分析包括：所供产品中的美国原产内容不超过产品价值10%；产品并非所指定技术或软件的直接产品，因而未因相关 FDP 规则受 EAR 管辖。文件也明确描述，若向该客户提供 subject to the EAR 的物项，须获许可，且许可申请适用 presumption of denial。报告据此区分了“该交易物项不受 EAR”的意见与“相关客户的许可审查政策”。</w:t>
      </w:r>
    </w:p>
    <w:p>
      <w:pPr>
        <w:keepNext w:val="0"/>
        <w:spacing w:before="0" w:after="120" w:line="271" w:lineRule="auto"/>
      </w:pPr>
      <w:r>
        <w:rPr>
          <w:rFonts w:ascii="Arial" w:hAnsi="Arial" w:eastAsia="FangSong" w:cs="Arial"/>
          <w:b w:val="0"/>
          <w:i w:val="0"/>
          <w:color w:val="202124"/>
          <w:sz w:val="21"/>
        </w:rPr>
        <w:t>董事在上述意见基础上判断业务影响；联席保荐人根据尽调表示未发现合理理由对董事意见产生重大疑问。原文并未把保荐人结论表述为其独立作出出口分类或许可法律意见。</w:t>
      </w:r>
    </w:p>
    <w:p>
      <w:pPr>
        <w:keepNext w:val="0"/>
        <w:spacing w:before="0" w:after="120" w:line="271" w:lineRule="auto"/>
      </w:pPr>
      <w:r>
        <w:rPr>
          <w:rFonts w:ascii="Arial" w:hAnsi="Arial" w:eastAsia="FangSong" w:cs="Arial"/>
          <w:b/>
          <w:i w:val="0"/>
          <w:color w:val="202124"/>
          <w:sz w:val="21"/>
        </w:rPr>
        <w:t>可借鉴之处：</w:t>
      </w:r>
      <w:r>
        <w:rPr>
          <w:rFonts w:ascii="Arial" w:hAnsi="Arial" w:eastAsia="FangSong" w:cs="Arial"/>
          <w:b w:val="0"/>
          <w:i w:val="0"/>
          <w:color w:val="202124"/>
          <w:sz w:val="21"/>
        </w:rPr>
        <w:t xml:space="preserve"> 在制裁章节直接交叉引用客户表；把产品、金额、币种、列名日和许可审查政策写在同一论证中。</w:t>
      </w:r>
      <w:r>
        <w:rPr>
          <w:rFonts w:ascii="Arial" w:hAnsi="Arial" w:eastAsia="FangSong" w:cs="Arial"/>
          <w:b/>
          <w:i w:val="0"/>
          <w:color w:val="202124"/>
          <w:sz w:val="21"/>
        </w:rPr>
        <w:t>适用差异：</w:t>
      </w:r>
      <w:r>
        <w:rPr>
          <w:rFonts w:ascii="Arial" w:hAnsi="Arial" w:eastAsia="FangSong" w:cs="Arial"/>
          <w:b w:val="0"/>
          <w:i w:val="0"/>
          <w:color w:val="202124"/>
          <w:sz w:val="21"/>
        </w:rPr>
        <w:t xml:space="preserve"> 该模式涉及完整 ODM 设备及多个组件类别，不能据此推定纯金属部件、软件服务或其他生产链的 EAR 结论。</w:t>
      </w:r>
    </w:p>
    <w:p>
      <w:pPr>
        <w:keepNext w:val="0"/>
        <w:spacing w:before="0" w:after="120" w:line="271" w:lineRule="auto"/>
      </w:pPr>
      <w:r>
        <w:rPr>
          <w:rFonts w:ascii="Arial" w:hAnsi="Arial" w:eastAsia="FangSong" w:cs="Arial"/>
          <w:b w:val="0"/>
          <w:i w:val="0"/>
          <w:color w:val="202124"/>
          <w:sz w:val="21"/>
        </w:rPr>
        <w:t>披露程度：客户真实名称、具体 Footnote、各 SKU 技术参数、逐笔交付和银行路径未在相关披露单列；没有公开客户级 BOM 或顾问工作底稿。Customer E 的双向交易不支持净额收入或特定会计处理结论。</w:t>
      </w:r>
    </w:p>
    <w:p>
      <w:pPr>
        <w:keepNext w:val="0"/>
        <w:spacing w:before="0" w:after="120" w:line="271" w:lineRule="auto"/>
      </w:pPr>
      <w:r>
        <w:rPr>
          <w:rFonts w:ascii="Arial" w:hAnsi="Arial" w:eastAsia="FangSong" w:cs="Arial"/>
          <w:b w:val="0"/>
          <w:i w:val="0"/>
          <w:color w:val="3B3D40"/>
          <w:sz w:val="18"/>
        </w:rPr>
        <w:t xml:space="preserve">短摘录：“All such transactions were denominated in RMB and did not involve exports.” </w:t>
      </w:r>
      <w:hyperlink r:id="rId11">
        <w:r>
          <w:rPr>
            <w:rFonts w:ascii="Arial" w:hAnsi="Arial" w:eastAsia="FangSong"/>
            <w:color w:val="3B3D40"/>
            <w:u w:val="single"/>
            <w:sz w:val="18"/>
          </w:rPr>
          <w:t>官方招股书：PDF273／印刷263</w:t>
        </w:r>
      </w:hyperlink>
      <w:r>
        <w:rPr>
          <w:rFonts w:ascii="Arial" w:hAnsi="Arial" w:eastAsia="FangSong" w:cs="Arial"/>
          <w:b w:val="0"/>
          <w:i w:val="0"/>
          <w:color w:val="3B3D40"/>
          <w:sz w:val="18"/>
        </w:rPr>
        <w:t>。该页“Business Activities in relation to a Relevant Entity subject to U.S. Export Controls”标题下两段为完整主要证据；产品及收入表见 PDF242至244／印刷232至234，双向交易见 PDF261／印刷251；相邻 PDF239至245、260至262、271至276已核对。</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六、天域：美国原料与中国原产成品分层分析</w:t>
      </w:r>
    </w:p>
    <w:tbl>
      <w:tblPr>
        <w:tblW w:type="dxa" w:w="9751"/>
        <w:jc w:val="center"/>
        <w:tblLayout w:type="fixed"/>
        <w:tblLook w:firstColumn="1" w:firstRow="1" w:lastColumn="0" w:lastRow="0" w:noHBand="0" w:noVBand="1" w:val="04A0"/>
        <w:tblBorders>
          <w:top w:val="single" w:sz="4" w:color="D3D4D5"/>
          <w:left w:val="single" w:sz="4" w:color="D3D4D5"/>
          <w:bottom w:val="single" w:sz="4" w:color="D3D4D5"/>
          <w:right w:val="single" w:sz="4" w:color="D3D4D5"/>
          <w:insideH w:val="single" w:sz="4" w:color="D3D4D5"/>
          <w:insideV w:val="single" w:sz="4" w:color="D3D4D5"/>
        </w:tblBorders>
      </w:tblPr>
      <w:tblGrid>
        <w:gridCol w:w="2891"/>
        <w:gridCol w:w="6860"/>
      </w:tblGrid>
      <w:tr>
        <w:trPr>
          <w:tblHeader w:val="true"/>
        </w:trPr>
        <w:tc>
          <w:tcPr>
            <w:tcW w:type="dxa" w:w="289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w:t>
            </w:r>
          </w:p>
        </w:tc>
        <w:tc>
          <w:tcPr>
            <w:tcW w:type="dxa" w:w="6860"/>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文件及顾问</w:t>
            </w:r>
          </w:p>
        </w:tc>
      </w:tr>
      <w:tr>
        <w:trPr>
          <w:cantSplit/>
        </w:trPr>
        <w:tc>
          <w:tcPr>
            <w:tcW w:type="dxa" w:w="2891"/>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廣東天域半導體股份有限公司 / Guangdong Tianyu Semiconductor Co., Ltd. / 02658</w:t>
            </w:r>
          </w:p>
        </w:tc>
        <w:tc>
          <w:tcPr>
            <w:tcW w:type="dxa" w:w="6860"/>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英文《Global Offering》正式招股书：2025年11月27日；LPD：2025年11月21日。制裁顾问：Hogan Lovells（PDF55／印刷45）。</w:t>
            </w:r>
          </w:p>
        </w:tc>
      </w:tr>
    </w:tbl>
    <w:p>
      <w:pPr>
        <w:keepNext w:val="0"/>
        <w:spacing w:before="0" w:after="40" w:line="271" w:lineRule="auto"/>
      </w:pPr>
    </w:p>
    <w:p>
      <w:pPr>
        <w:keepNext/>
        <w:spacing w:before="220" w:after="100" w:line="240" w:lineRule="auto"/>
      </w:pPr>
      <w:r>
        <w:rPr>
          <w:rFonts w:ascii="Arial" w:hAnsi="Arial" w:eastAsia="FangSong" w:cs="Arial"/>
          <w:b/>
          <w:i w:val="0"/>
          <w:color w:val="202124"/>
          <w:sz w:val="25"/>
        </w:rPr>
        <w:t>6.1 实际供货及销售期间</w:t>
      </w:r>
    </w:p>
    <w:p>
      <w:pPr>
        <w:keepNext w:val="0"/>
        <w:spacing w:before="0" w:after="120" w:line="271" w:lineRule="auto"/>
      </w:pPr>
      <w:r>
        <w:rPr>
          <w:rFonts w:ascii="Arial" w:hAnsi="Arial" w:eastAsia="FangSong" w:cs="Arial"/>
          <w:b w:val="0"/>
          <w:i w:val="0"/>
          <w:color w:val="202124"/>
          <w:sz w:val="21"/>
        </w:rPr>
        <w:t>中国集团实体在境内向匿名 Entity List 客户销售中国原产 Wafer Products，即 SiC 外延晶圆。部分产品包含从美国供应商采购的 SiC 基底；基底分类为 EAR99。2022及2023年相关收入分别约为人民币3.8及0.6百万元（RMB million），占总收入0.9%及0.1%；2024年及2025年前五个月均为零。公司于</w:t>
      </w:r>
      <w:r>
        <w:rPr>
          <w:rFonts w:ascii="Arial" w:hAnsi="Arial" w:eastAsia="FangSong" w:cs="Arial"/>
          <w:b/>
          <w:i w:val="0"/>
          <w:color w:val="202124"/>
          <w:sz w:val="21"/>
        </w:rPr>
        <w:t>2023年7月</w:t>
      </w:r>
      <w:r>
        <w:rPr>
          <w:rFonts w:ascii="Arial" w:hAnsi="Arial" w:eastAsia="FangSong" w:cs="Arial"/>
          <w:b w:val="0"/>
          <w:i w:val="0"/>
          <w:color w:val="202124"/>
          <w:sz w:val="21"/>
        </w:rPr>
        <w:t>停止相关销售。</w:t>
      </w:r>
    </w:p>
    <w:p>
      <w:pPr>
        <w:keepNext w:val="0"/>
        <w:spacing w:before="0" w:after="120" w:line="271" w:lineRule="auto"/>
      </w:pPr>
      <w:r>
        <w:rPr>
          <w:rFonts w:ascii="Arial" w:hAnsi="Arial" w:eastAsia="FangSong" w:cs="Arial"/>
          <w:b w:val="0"/>
          <w:i w:val="0"/>
          <w:color w:val="202124"/>
          <w:sz w:val="21"/>
        </w:rPr>
        <w:t>这组披露提供了成品原产地、上游原料、交易主体及履行地点，但没有按客户列示名称、Footnote、列名日或最终目的地。相邻俄罗斯交易属于另一组事实，其人民币结算、合同或物流安排不能替代这组客户的事实。</w:t>
      </w:r>
    </w:p>
    <w:p>
      <w:pPr>
        <w:keepNext/>
        <w:spacing w:before="220" w:after="100" w:line="240" w:lineRule="auto"/>
      </w:pPr>
      <w:r>
        <w:rPr>
          <w:rFonts w:ascii="Arial" w:hAnsi="Arial" w:eastAsia="FangSong" w:cs="Arial"/>
          <w:b/>
          <w:i w:val="0"/>
          <w:color w:val="202124"/>
          <w:sz w:val="25"/>
        </w:rPr>
        <w:t>6.2 许可意见依赖的三个事实</w:t>
      </w:r>
    </w:p>
    <w:p>
      <w:pPr>
        <w:keepNext w:val="0"/>
        <w:spacing w:before="0" w:after="120" w:line="271" w:lineRule="auto"/>
      </w:pPr>
      <w:r>
        <w:rPr>
          <w:rFonts w:ascii="Arial" w:hAnsi="Arial" w:eastAsia="FangSong" w:cs="Arial"/>
          <w:b w:val="0"/>
          <w:i w:val="0"/>
          <w:color w:val="202124"/>
          <w:sz w:val="21"/>
        </w:rPr>
        <w:t>Hogan Lovells 将三项依据并列：（一）销售产品均为中国原产 Wafer Products，相关基底分类为 EAR99；（二）EAR §734.9项下 foreign direct product rule 不适用；（三）销售由中国注册集团实体实施且在境内履行。在此基础上，顾问认为无需出口管制许可，相关销售不构成所述 Primary Sanctioned Activity 或违反适用美国出口管制限制。</w:t>
      </w:r>
    </w:p>
    <w:p>
      <w:pPr>
        <w:keepNext w:val="0"/>
        <w:spacing w:before="0" w:after="120" w:line="271" w:lineRule="auto"/>
      </w:pPr>
      <w:r>
        <w:rPr>
          <w:rFonts w:ascii="Arial" w:hAnsi="Arial" w:eastAsia="FangSong" w:cs="Arial"/>
          <w:b w:val="0"/>
          <w:i w:val="0"/>
          <w:color w:val="202124"/>
          <w:sz w:val="21"/>
        </w:rPr>
        <w:t>同页另述美国原产 EAR99 基底属于 subject to the EAR。因此，参考该先例时应保留“原料分类—成品属性—FDPR—交易地点”的完整分析，不宜只抽出 EAR99 或境内交易作为结论。</w:t>
      </w:r>
    </w:p>
    <w:p>
      <w:pPr>
        <w:keepNext/>
        <w:spacing w:before="220" w:after="100" w:line="240" w:lineRule="auto"/>
      </w:pPr>
      <w:r>
        <w:rPr>
          <w:rFonts w:ascii="Arial" w:hAnsi="Arial" w:eastAsia="FangSong" w:cs="Arial"/>
          <w:b/>
          <w:i w:val="0"/>
          <w:color w:val="202124"/>
          <w:sz w:val="25"/>
        </w:rPr>
        <w:t>6.3 停止安排及内控</w:t>
      </w:r>
    </w:p>
    <w:p>
      <w:pPr>
        <w:keepNext w:val="0"/>
        <w:spacing w:before="0" w:after="120" w:line="271" w:lineRule="auto"/>
      </w:pPr>
      <w:r>
        <w:rPr>
          <w:rFonts w:ascii="Arial" w:hAnsi="Arial" w:eastAsia="FangSong" w:cs="Arial"/>
          <w:b w:val="0"/>
          <w:i w:val="0"/>
          <w:color w:val="202124"/>
          <w:sz w:val="21"/>
        </w:rPr>
        <w:t>原文将停止相关交易与增强内控一并披露：法务及财务部门负责交易审查和制裁筛查，半年会议复核风险，必要时咨询外部律师及提供培训；上市募集资金拟以独立账户管理。独家保荐人表示，未发现有关内控充分性和有效性的重大问题。此处是内控评价，并非逐笔交易许可证明。</w:t>
      </w:r>
    </w:p>
    <w:p>
      <w:pPr>
        <w:keepNext w:val="0"/>
        <w:spacing w:before="0" w:after="120" w:line="271" w:lineRule="auto"/>
      </w:pPr>
      <w:r>
        <w:rPr>
          <w:rFonts w:ascii="Arial" w:hAnsi="Arial" w:eastAsia="FangSong" w:cs="Arial"/>
          <w:b/>
          <w:i w:val="0"/>
          <w:color w:val="202124"/>
          <w:sz w:val="21"/>
        </w:rPr>
        <w:t>可借鉴之处：</w:t>
      </w:r>
      <w:r>
        <w:rPr>
          <w:rFonts w:ascii="Arial" w:hAnsi="Arial" w:eastAsia="FangSong" w:cs="Arial"/>
          <w:b w:val="0"/>
          <w:i w:val="0"/>
          <w:color w:val="202124"/>
          <w:sz w:val="21"/>
        </w:rPr>
        <w:t xml:space="preserve"> 将美国投入物和最终销售产品分别分类，量化相关客户收入，并给出明确停止月份。</w:t>
      </w:r>
      <w:r>
        <w:rPr>
          <w:rFonts w:ascii="Arial" w:hAnsi="Arial" w:eastAsia="FangSong" w:cs="Arial"/>
          <w:b/>
          <w:i w:val="0"/>
          <w:color w:val="202124"/>
          <w:sz w:val="21"/>
        </w:rPr>
        <w:t>适用差异：</w:t>
      </w:r>
      <w:r>
        <w:rPr>
          <w:rFonts w:ascii="Arial" w:hAnsi="Arial" w:eastAsia="FangSong" w:cs="Arial"/>
          <w:b w:val="0"/>
          <w:i w:val="0"/>
          <w:color w:val="202124"/>
          <w:sz w:val="21"/>
        </w:rPr>
        <w:t xml:space="preserve"> 美国投入物类别、外国制造过程或客户 Footnote 变化，均可能使本案事实基础与其他交易不同。客户逐笔时间线和分类底稿未在相关披露公开。</w:t>
      </w:r>
    </w:p>
    <w:p>
      <w:pPr>
        <w:keepNext w:val="0"/>
        <w:spacing w:before="0" w:after="120" w:line="271" w:lineRule="auto"/>
      </w:pPr>
      <w:r>
        <w:rPr>
          <w:rFonts w:ascii="Arial" w:hAnsi="Arial" w:eastAsia="FangSong" w:cs="Arial"/>
          <w:b w:val="0"/>
          <w:i w:val="0"/>
          <w:color w:val="3B3D40"/>
          <w:sz w:val="18"/>
        </w:rPr>
        <w:t xml:space="preserve">短摘录：“We ceased such sales to the Entity List Customers in July 2023.” </w:t>
      </w:r>
      <w:hyperlink r:id="rId12">
        <w:r>
          <w:rPr>
            <w:rFonts w:ascii="Arial" w:hAnsi="Arial" w:eastAsia="FangSong"/>
            <w:color w:val="3B3D40"/>
            <w:u w:val="single"/>
            <w:sz w:val="18"/>
          </w:rPr>
          <w:t>官方招股书：PDF331／印刷321</w:t>
        </w:r>
      </w:hyperlink>
      <w:r>
        <w:rPr>
          <w:rFonts w:ascii="Arial" w:hAnsi="Arial" w:eastAsia="FangSong" w:cs="Arial"/>
          <w:b w:val="0"/>
          <w:i w:val="0"/>
          <w:color w:val="3B3D40"/>
          <w:sz w:val="18"/>
        </w:rPr>
        <w:t>。完整交易及意见为该页“Business Activities with Certain Entities subject to U.S. Export Control Restrictions”标题下两段，至“U.S. Chip Export Restrictions”前；内控见 PDF332至334／印刷322至324。相邻 PDF329至334已核对。</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七、赛目：软件开发工具及持续服务的披露</w:t>
      </w:r>
    </w:p>
    <w:tbl>
      <w:tblPr>
        <w:tblW w:type="dxa" w:w="9751"/>
        <w:jc w:val="center"/>
        <w:tblLayout w:type="fixed"/>
        <w:tblLook w:firstColumn="1" w:firstRow="1" w:lastColumn="0" w:lastRow="0" w:noHBand="0" w:noVBand="1" w:val="04A0"/>
        <w:tblBorders>
          <w:top w:val="single" w:sz="4" w:color="D3D4D5"/>
          <w:left w:val="single" w:sz="4" w:color="D3D4D5"/>
          <w:bottom w:val="single" w:sz="4" w:color="D3D4D5"/>
          <w:right w:val="single" w:sz="4" w:color="D3D4D5"/>
          <w:insideH w:val="single" w:sz="4" w:color="D3D4D5"/>
          <w:insideV w:val="single" w:sz="4" w:color="D3D4D5"/>
        </w:tblBorders>
      </w:tblPr>
      <w:tblGrid>
        <w:gridCol w:w="2891"/>
        <w:gridCol w:w="6860"/>
      </w:tblGrid>
      <w:tr>
        <w:trPr>
          <w:tblHeader w:val="true"/>
        </w:trPr>
        <w:tc>
          <w:tcPr>
            <w:tcW w:type="dxa" w:w="289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w:t>
            </w:r>
          </w:p>
        </w:tc>
        <w:tc>
          <w:tcPr>
            <w:tcW w:type="dxa" w:w="6860"/>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文件及顾问</w:t>
            </w:r>
          </w:p>
        </w:tc>
      </w:tr>
      <w:tr>
        <w:trPr>
          <w:cantSplit/>
        </w:trPr>
        <w:tc>
          <w:tcPr>
            <w:tcW w:type="dxa" w:w="2891"/>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北京賽目科技股份有限公司 / Beijing Saimo Technology Co., Ltd. / 02571</w:t>
            </w:r>
          </w:p>
        </w:tc>
        <w:tc>
          <w:tcPr>
            <w:tcW w:type="dxa" w:w="6860"/>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英文《Global Offering》正式招股书：2024年12月31日；LPD：2024年12月22日。国际制裁法律顾问：King &amp; Wood Mallesons。</w:t>
            </w:r>
          </w:p>
        </w:tc>
      </w:tr>
    </w:tbl>
    <w:p>
      <w:pPr>
        <w:keepNext w:val="0"/>
        <w:spacing w:before="0" w:after="40" w:line="271" w:lineRule="auto"/>
      </w:pPr>
    </w:p>
    <w:p>
      <w:pPr>
        <w:keepNext/>
        <w:spacing w:before="220" w:after="100" w:line="240" w:lineRule="auto"/>
      </w:pPr>
      <w:r>
        <w:rPr>
          <w:rFonts w:ascii="Arial" w:hAnsi="Arial" w:eastAsia="FangSong" w:cs="Arial"/>
          <w:b/>
          <w:i w:val="0"/>
          <w:color w:val="202124"/>
          <w:sz w:val="25"/>
        </w:rPr>
        <w:t>7.1 软件、云端方案与分包服务</w:t>
      </w:r>
    </w:p>
    <w:p>
      <w:pPr>
        <w:keepNext w:val="0"/>
        <w:spacing w:before="0" w:after="120" w:line="271" w:lineRule="auto"/>
      </w:pPr>
      <w:r>
        <w:rPr>
          <w:rFonts w:ascii="Arial" w:hAnsi="Arial" w:eastAsia="FangSong" w:cs="Arial"/>
          <w:b w:val="0"/>
          <w:i w:val="0"/>
          <w:color w:val="202124"/>
          <w:sz w:val="21"/>
        </w:rPr>
        <w:t>公司自2018年与匿名 Relevant Customer 合作。业务包括 ICV 仿真测试软件销售、联合提供云端仿真测试方案，以及 ICV 测试、相关服务和咨询；公司亦在中国作为该客户的分包商服务终端用户。相关客户同时列入 Entity List 及 NS-CMIC List。</w:t>
      </w:r>
    </w:p>
    <w:p>
      <w:pPr>
        <w:keepNext w:val="0"/>
        <w:spacing w:before="0" w:after="120" w:line="271" w:lineRule="auto"/>
      </w:pPr>
      <w:r>
        <w:rPr>
          <w:rFonts w:ascii="Arial" w:hAnsi="Arial" w:eastAsia="FangSong" w:cs="Arial"/>
          <w:b w:val="0"/>
          <w:i w:val="0"/>
          <w:color w:val="202124"/>
          <w:sz w:val="21"/>
        </w:rPr>
        <w:t>2021、2022、2023年及2024上半年收入分别约为人民币7.7、35.5、13.1及0.5百万元（RMB million），占7.2%、24.4%、7.5%及0.9%。风险因素称其分别为2021、2022及2023年第五大、最大及第四大客户。LPD时，该客户的同系公司持有股份，按文件所述上市后、未行使超额配股权口径占2.1%；不是 Relevant Customer 本身直接持股。</w:t>
      </w:r>
    </w:p>
    <w:p>
      <w:pPr>
        <w:keepNext/>
        <w:spacing w:before="220" w:after="100" w:line="240" w:lineRule="auto"/>
      </w:pPr>
      <w:r>
        <w:rPr>
          <w:rFonts w:ascii="Arial" w:hAnsi="Arial" w:eastAsia="FangSong" w:cs="Arial"/>
          <w:b/>
          <w:i w:val="0"/>
          <w:color w:val="202124"/>
          <w:sz w:val="25"/>
        </w:rPr>
        <w:t>7.2 开发工具及 FDP 分析依据</w:t>
      </w:r>
    </w:p>
    <w:p>
      <w:pPr>
        <w:keepNext w:val="0"/>
        <w:spacing w:before="0" w:after="120" w:line="271" w:lineRule="auto"/>
      </w:pPr>
      <w:r>
        <w:rPr>
          <w:rFonts w:ascii="Arial" w:hAnsi="Arial" w:eastAsia="FangSong" w:cs="Arial"/>
          <w:b w:val="0"/>
          <w:i w:val="0"/>
          <w:color w:val="202124"/>
          <w:sz w:val="21"/>
        </w:rPr>
        <w:t>公司披露开发中使用 Axure9、Enterprise Architect及yEd Graph Editor等含美国软件／技术的工具，并承认产品可能构成其 direct product。King &amp; Wood Mallesons 随后审阅全部设计工具的 ECCN及适用 FDP 范围，而非仅凭自主研发作结论。</w:t>
      </w:r>
    </w:p>
    <w:p>
      <w:pPr>
        <w:keepNext w:val="0"/>
        <w:spacing w:before="0" w:after="120" w:line="271" w:lineRule="auto"/>
      </w:pPr>
      <w:r>
        <w:rPr>
          <w:rFonts w:ascii="Arial" w:hAnsi="Arial" w:eastAsia="FangSong" w:cs="Arial"/>
          <w:b w:val="0"/>
          <w:i w:val="0"/>
          <w:color w:val="202124"/>
          <w:sz w:val="21"/>
        </w:rPr>
        <w:t>顾问说明，相关工具 ECCN 与适用于该客户的 FDP 规则指定 ECCN 不匹配；工具或不受 EAR，或满足文件所述 mass-market 条件。原文脚注还列出 Visual Studio Code、Notepad++、GNU Compiler Collection、Sourcetree、MobaXterm、Chrome、IntelliJ IDEA、Dbeaver及MySQL等现成软件。文件据此判断相关产品不受 EAR、无需 BIS 许可；另以中国开发源代码及无美国原产受控内容解释 de minimis 不适用。</w:t>
      </w:r>
    </w:p>
    <w:p>
      <w:pPr>
        <w:keepNext/>
        <w:spacing w:before="220" w:after="100" w:line="240" w:lineRule="auto"/>
      </w:pPr>
      <w:r>
        <w:rPr>
          <w:rFonts w:ascii="Arial" w:hAnsi="Arial" w:eastAsia="FangSong" w:cs="Arial"/>
          <w:b/>
          <w:i w:val="0"/>
          <w:color w:val="202124"/>
          <w:sz w:val="25"/>
        </w:rPr>
        <w:t>7.3 持续交易的支持措施</w:t>
      </w:r>
    </w:p>
    <w:p>
      <w:pPr>
        <w:keepNext w:val="0"/>
        <w:spacing w:before="0" w:after="120" w:line="271" w:lineRule="auto"/>
      </w:pPr>
      <w:r>
        <w:rPr>
          <w:rFonts w:ascii="Arial" w:hAnsi="Arial" w:eastAsia="FangSong" w:cs="Arial"/>
          <w:b w:val="0"/>
          <w:i w:val="0"/>
          <w:color w:val="202124"/>
          <w:sz w:val="21"/>
        </w:rPr>
        <w:t>文件明确表示无意停止相关业务。配套安排包括持续监测采购及设计工具、风险控制委员会审查合同和交易资料、加入对手合规条款、向董事会报告，以及外部咨询及培训。NS-CMIC证券限制另作分析，没有以其证券结论替代软件供给的 EAR 分析。</w:t>
      </w:r>
    </w:p>
    <w:p>
      <w:pPr>
        <w:keepNext w:val="0"/>
        <w:spacing w:before="0" w:after="120" w:line="271" w:lineRule="auto"/>
      </w:pPr>
      <w:r>
        <w:rPr>
          <w:rFonts w:ascii="Arial" w:hAnsi="Arial" w:eastAsia="FangSong" w:cs="Arial"/>
          <w:b/>
          <w:i w:val="0"/>
          <w:color w:val="202124"/>
          <w:sz w:val="21"/>
        </w:rPr>
        <w:t>可借鉴之处：</w:t>
      </w:r>
      <w:r>
        <w:rPr>
          <w:rFonts w:ascii="Arial" w:hAnsi="Arial" w:eastAsia="FangSong" w:cs="Arial"/>
          <w:b w:val="0"/>
          <w:i w:val="0"/>
          <w:color w:val="202124"/>
          <w:sz w:val="21"/>
        </w:rPr>
        <w:t xml:space="preserve"> 提供开发工具清单、具体分析依据及持续交易措施；同时在风险因素披露客户集中度和持股关系。</w:t>
      </w:r>
      <w:r>
        <w:rPr>
          <w:rFonts w:ascii="Arial" w:hAnsi="Arial" w:eastAsia="FangSong" w:cs="Arial"/>
          <w:b/>
          <w:i w:val="0"/>
          <w:color w:val="202124"/>
          <w:sz w:val="21"/>
        </w:rPr>
        <w:t>适用差异：</w:t>
      </w:r>
      <w:r>
        <w:rPr>
          <w:rFonts w:ascii="Arial" w:hAnsi="Arial" w:eastAsia="FangSong" w:cs="Arial"/>
          <w:b w:val="0"/>
          <w:i w:val="0"/>
          <w:color w:val="202124"/>
          <w:sz w:val="21"/>
        </w:rPr>
        <w:t xml:space="preserve"> 软件／服务的开发链不等同晶圆或机器人的制造链。文件未在客户业务段明确逐客 Footnote 和确切列名日；法规章节的 Footnote 1 及业务脚注“Note 1”均不得直接当作该客户的名单标记。</w:t>
      </w:r>
    </w:p>
    <w:p>
      <w:pPr>
        <w:keepNext w:val="0"/>
        <w:spacing w:before="0" w:after="120" w:line="271" w:lineRule="auto"/>
      </w:pPr>
      <w:r>
        <w:rPr>
          <w:rFonts w:ascii="Arial" w:hAnsi="Arial" w:eastAsia="FangSong" w:cs="Arial"/>
          <w:b w:val="0"/>
          <w:i w:val="0"/>
          <w:color w:val="3B3D40"/>
          <w:sz w:val="18"/>
        </w:rPr>
        <w:t>短摘录：“sale of ICV simulation testing software”。</w:t>
      </w:r>
      <w:hyperlink r:id="rId13">
        <w:r>
          <w:rPr>
            <w:rFonts w:ascii="Arial" w:hAnsi="Arial" w:eastAsia="FangSong"/>
            <w:color w:val="3B3D40"/>
            <w:u w:val="single"/>
            <w:sz w:val="18"/>
          </w:rPr>
          <w:t>官方招股书：PDF360／印刷350</w:t>
        </w:r>
      </w:hyperlink>
      <w:r>
        <w:rPr>
          <w:rFonts w:ascii="Arial" w:hAnsi="Arial" w:eastAsia="FangSong" w:cs="Arial"/>
          <w:b w:val="0"/>
          <w:i w:val="0"/>
          <w:color w:val="3B3D40"/>
          <w:sz w:val="18"/>
        </w:rPr>
        <w:t>。业务及收入见该页专节；工具／许可分析自 PDF361“ Our products are solely developed…”段至 PDF362监测承诺前，包含 Note 1；持续业务和内控见 PDF364／印刷354；风险因素见 PDF69／印刷59。相邻 PDF359至365及法规 PDF159至160已核对。</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八、珞石：Footnote 4 子集与制造过程确认</w:t>
      </w:r>
    </w:p>
    <w:tbl>
      <w:tblPr>
        <w:tblW w:type="dxa" w:w="9751"/>
        <w:jc w:val="center"/>
        <w:tblLayout w:type="fixed"/>
        <w:tblLook w:firstColumn="1" w:firstRow="1" w:lastColumn="0" w:lastRow="0" w:noHBand="0" w:noVBand="1" w:val="04A0"/>
        <w:tblBorders>
          <w:top w:val="single" w:sz="4" w:color="D3D4D5"/>
          <w:left w:val="single" w:sz="4" w:color="D3D4D5"/>
          <w:bottom w:val="single" w:sz="4" w:color="D3D4D5"/>
          <w:right w:val="single" w:sz="4" w:color="D3D4D5"/>
          <w:insideH w:val="single" w:sz="4" w:color="D3D4D5"/>
          <w:insideV w:val="single" w:sz="4" w:color="D3D4D5"/>
        </w:tblBorders>
      </w:tblPr>
      <w:tblGrid>
        <w:gridCol w:w="2891"/>
        <w:gridCol w:w="6860"/>
      </w:tblGrid>
      <w:tr>
        <w:trPr>
          <w:tblHeader w:val="true"/>
        </w:trPr>
        <w:tc>
          <w:tcPr>
            <w:tcW w:type="dxa" w:w="289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w:t>
            </w:r>
          </w:p>
        </w:tc>
        <w:tc>
          <w:tcPr>
            <w:tcW w:type="dxa" w:w="6860"/>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文件及顾问</w:t>
            </w:r>
          </w:p>
        </w:tc>
      </w:tr>
      <w:tr>
        <w:trPr>
          <w:cantSplit/>
        </w:trPr>
        <w:tc>
          <w:tcPr>
            <w:tcW w:type="dxa" w:w="2891"/>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珞石(山東)機器人集團股份有限公司 / ROKAE (SHANDONG) ROBOTICS GROUP INC. / 03752</w:t>
            </w:r>
          </w:p>
        </w:tc>
        <w:tc>
          <w:tcPr>
            <w:tcW w:type="dxa" w:w="6860"/>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英文《Global Offering》正式招股书：2026年6月30日；LPD：2026年6月20日。国际制裁法律顾问：King &amp; Wood（PDF23／印刷15；专家表 PDF429／印刷VI-11）。</w:t>
            </w:r>
          </w:p>
        </w:tc>
      </w:tr>
    </w:tbl>
    <w:p>
      <w:pPr>
        <w:keepNext w:val="0"/>
        <w:spacing w:before="0" w:after="40" w:line="271" w:lineRule="auto"/>
      </w:pPr>
    </w:p>
    <w:p>
      <w:pPr>
        <w:keepNext/>
        <w:spacing w:before="220" w:after="100" w:line="240" w:lineRule="auto"/>
      </w:pPr>
      <w:r>
        <w:rPr>
          <w:rFonts w:ascii="Arial" w:hAnsi="Arial" w:eastAsia="FangSong" w:cs="Arial"/>
          <w:b/>
          <w:i w:val="0"/>
          <w:color w:val="202124"/>
          <w:sz w:val="25"/>
        </w:rPr>
        <w:t>8.1 同一收入表述中的整体与子集</w:t>
      </w:r>
    </w:p>
    <w:p>
      <w:pPr>
        <w:keepNext w:val="0"/>
        <w:spacing w:before="0" w:after="120" w:line="271" w:lineRule="auto"/>
      </w:pPr>
      <w:r>
        <w:rPr>
          <w:rFonts w:ascii="Arial" w:hAnsi="Arial" w:eastAsia="FangSong" w:cs="Arial"/>
          <w:b w:val="0"/>
          <w:i w:val="0"/>
          <w:color w:val="202124"/>
          <w:sz w:val="21"/>
        </w:rPr>
        <w:t>公司向列名客户销售中国制造机器人产品。2023、2024及2025年，17名 Entity List 客户收入占比为2.8%、0.4%及1.7%；其中5名 Footnote 4 客户占比为0.4%、0.1%及0.2%。</w:t>
      </w:r>
      <w:r>
        <w:rPr>
          <w:rFonts w:ascii="Arial" w:hAnsi="Arial" w:eastAsia="FangSong" w:cs="Arial"/>
          <w:b/>
          <w:i w:val="0"/>
          <w:color w:val="202124"/>
          <w:sz w:val="21"/>
        </w:rPr>
        <w:t>五名客户已包含在十七名客户中，两组收入不能相加。</w:t>
      </w:r>
      <w:r>
        <w:rPr>
          <w:rFonts w:ascii="Arial" w:hAnsi="Arial" w:eastAsia="FangSong" w:cs="Arial"/>
          <w:b w:val="0"/>
          <w:i w:val="0"/>
          <w:color w:val="202124"/>
          <w:sz w:val="21"/>
        </w:rPr>
        <w:t xml:space="preserve"> 文件没有按客户列示机器人型号、列名／Footnote生效日及订单时间。</w:t>
      </w:r>
    </w:p>
    <w:p>
      <w:pPr>
        <w:keepNext/>
        <w:spacing w:before="220" w:after="100" w:line="240" w:lineRule="auto"/>
      </w:pPr>
      <w:r>
        <w:rPr>
          <w:rFonts w:ascii="Arial" w:hAnsi="Arial" w:eastAsia="FangSong" w:cs="Arial"/>
          <w:b/>
          <w:i w:val="0"/>
          <w:color w:val="202124"/>
          <w:sz w:val="25"/>
        </w:rPr>
        <w:t>8.2 法律分析落到供应商制造过程</w:t>
      </w:r>
    </w:p>
    <w:p>
      <w:pPr>
        <w:keepNext w:val="0"/>
        <w:spacing w:before="0" w:after="120" w:line="271" w:lineRule="auto"/>
      </w:pPr>
      <w:r>
        <w:rPr>
          <w:rFonts w:ascii="Arial" w:hAnsi="Arial" w:eastAsia="FangSong" w:cs="Arial"/>
          <w:b w:val="0"/>
          <w:i w:val="0"/>
          <w:color w:val="202124"/>
          <w:sz w:val="21"/>
        </w:rPr>
        <w:t>King &amp; Wood 的历史意见依据三层事实：（一）采购物项不含受 EAR 管辖的美国原产受控组件或技术；（二）中国制造的机器人不包含美国原产受控物项或捆绑受控软件；（三）公司与供应商确认制造时未使用相关 FDPR 指定的软件或技术，因此与 Footnote 4 客户的交易不适用相关 FDPR。该意见属于管辖范围分析，原文没有展示 BIS 许可证。</w:t>
      </w:r>
    </w:p>
    <w:p>
      <w:pPr>
        <w:keepNext/>
        <w:spacing w:before="220" w:after="100" w:line="240" w:lineRule="auto"/>
      </w:pPr>
      <w:r>
        <w:rPr>
          <w:rFonts w:ascii="Arial" w:hAnsi="Arial" w:eastAsia="FangSong" w:cs="Arial"/>
          <w:b/>
          <w:i w:val="0"/>
          <w:color w:val="202124"/>
          <w:sz w:val="25"/>
        </w:rPr>
        <w:t>8.3 历史业务与后续政策须同时保留</w:t>
      </w:r>
    </w:p>
    <w:p>
      <w:pPr>
        <w:keepNext w:val="0"/>
        <w:spacing w:before="0" w:after="120" w:line="271" w:lineRule="auto"/>
      </w:pPr>
      <w:r>
        <w:rPr>
          <w:rFonts w:ascii="Arial" w:hAnsi="Arial" w:eastAsia="FangSong" w:cs="Arial"/>
          <w:b w:val="0"/>
          <w:i w:val="0"/>
          <w:color w:val="202124"/>
          <w:sz w:val="21"/>
        </w:rPr>
        <w:t>内控章节承认早期制度相对不足，2025年7月聘请内控顾问、9月聘请国际制裁顾问并加强框架。新措施包括客户身份核查、制裁筛查、合同陈述及保证、禁止转售或违规用途承诺、暂停／终止及求偿权、持续复筛，由首席财务官牵头协调业务、财务及法务。</w:t>
      </w:r>
    </w:p>
    <w:p>
      <w:pPr>
        <w:keepNext w:val="0"/>
        <w:spacing w:before="0" w:after="120" w:line="271" w:lineRule="auto"/>
      </w:pPr>
      <w:r>
        <w:rPr>
          <w:rFonts w:ascii="Arial" w:hAnsi="Arial" w:eastAsia="FangSong" w:cs="Arial"/>
          <w:b w:val="0"/>
          <w:i w:val="0"/>
          <w:color w:val="202124"/>
          <w:sz w:val="21"/>
        </w:rPr>
        <w:t>同页写有禁止与制裁名单实体合作的政策。它与历史销售段并存，却未给出每名 Entity List 客户适用新政策后的停止日期。因此，本案适合说明历史 Footnote 4 销售分析和整改披露，</w:t>
      </w:r>
      <w:r>
        <w:rPr>
          <w:rFonts w:ascii="Arial" w:hAnsi="Arial" w:eastAsia="FangSong" w:cs="Arial"/>
          <w:b/>
          <w:i w:val="0"/>
          <w:color w:val="202124"/>
          <w:sz w:val="21"/>
        </w:rPr>
        <w:t>不宜概括为 Footnote 4 客户可持续供货的统一政策先例</w:t>
      </w:r>
      <w:r>
        <w:rPr>
          <w:rFonts w:ascii="Arial" w:hAnsi="Arial" w:eastAsia="FangSong" w:cs="Arial"/>
          <w:b w:val="0"/>
          <w:i w:val="0"/>
          <w:color w:val="202124"/>
          <w:sz w:val="21"/>
        </w:rPr>
        <w:t>。</w:t>
      </w:r>
    </w:p>
    <w:p>
      <w:pPr>
        <w:keepNext w:val="0"/>
        <w:spacing w:before="0" w:after="120" w:line="271" w:lineRule="auto"/>
      </w:pPr>
      <w:r>
        <w:rPr>
          <w:rFonts w:ascii="Arial" w:hAnsi="Arial" w:eastAsia="FangSong" w:cs="Arial"/>
          <w:b w:val="0"/>
          <w:i w:val="0"/>
          <w:color w:val="202124"/>
          <w:sz w:val="21"/>
        </w:rPr>
        <w:t>内控顾问意见基于公司提供的样本，评价所述增强措施在重大方面的设计充分性；不能扩大为记录期全部交易均已审计。邻近俄罗斯及 SDN 客户另有时间、金额和资金事实，应独立列示。</w:t>
      </w:r>
    </w:p>
    <w:p>
      <w:pPr>
        <w:keepNext w:val="0"/>
        <w:spacing w:before="0" w:after="120" w:line="271" w:lineRule="auto"/>
      </w:pPr>
      <w:r>
        <w:rPr>
          <w:rFonts w:ascii="Arial" w:hAnsi="Arial" w:eastAsia="FangSong" w:cs="Arial"/>
          <w:b/>
          <w:i w:val="0"/>
          <w:color w:val="202124"/>
          <w:sz w:val="21"/>
        </w:rPr>
        <w:t>可借鉴之处：</w:t>
      </w:r>
      <w:r>
        <w:rPr>
          <w:rFonts w:ascii="Arial" w:hAnsi="Arial" w:eastAsia="FangSong" w:cs="Arial"/>
          <w:b w:val="0"/>
          <w:i w:val="0"/>
          <w:color w:val="202124"/>
          <w:sz w:val="21"/>
        </w:rPr>
        <w:t xml:space="preserve"> 同期列示特殊标记客户子集；把 FDPR 事实确认落实到制造过程；如实交代内控增强时间。</w:t>
      </w:r>
      <w:r>
        <w:rPr>
          <w:rFonts w:ascii="Arial" w:hAnsi="Arial" w:eastAsia="FangSong" w:cs="Arial"/>
          <w:b/>
          <w:i w:val="0"/>
          <w:color w:val="202124"/>
          <w:sz w:val="21"/>
        </w:rPr>
        <w:t>适用差异：</w:t>
      </w:r>
      <w:r>
        <w:rPr>
          <w:rFonts w:ascii="Arial" w:hAnsi="Arial" w:eastAsia="FangSong" w:cs="Arial"/>
          <w:b w:val="0"/>
          <w:i w:val="0"/>
          <w:color w:val="202124"/>
          <w:sz w:val="21"/>
        </w:rPr>
        <w:t xml:space="preserve"> 制造商确认的范围、实际产品和技术参数未公开；不能据匿名群体收入还原每一客户在 Footnote 生效后的交易。</w:t>
      </w:r>
    </w:p>
    <w:p>
      <w:pPr>
        <w:keepNext w:val="0"/>
        <w:spacing w:before="0" w:after="120" w:line="271" w:lineRule="auto"/>
      </w:pPr>
      <w:r>
        <w:rPr>
          <w:rFonts w:ascii="Arial" w:hAnsi="Arial" w:eastAsia="FangSong" w:cs="Arial"/>
          <w:b w:val="0"/>
          <w:i w:val="0"/>
          <w:color w:val="3B3D40"/>
          <w:sz w:val="18"/>
        </w:rPr>
        <w:t>短摘录：“transactions with five Footnote 4 Entity List Customers”。</w:t>
      </w:r>
      <w:hyperlink r:id="rId14">
        <w:r>
          <w:rPr>
            <w:rFonts w:ascii="Arial" w:hAnsi="Arial" w:eastAsia="FangSong"/>
            <w:color w:val="3B3D40"/>
            <w:u w:val="single"/>
            <w:sz w:val="18"/>
          </w:rPr>
          <w:t>官方招股书：PDF186／印刷178</w:t>
        </w:r>
      </w:hyperlink>
      <w:r>
        <w:rPr>
          <w:rFonts w:ascii="Arial" w:hAnsi="Arial" w:eastAsia="FangSong" w:cs="Arial"/>
          <w:b w:val="0"/>
          <w:i w:val="0"/>
          <w:color w:val="3B3D40"/>
          <w:sz w:val="18"/>
        </w:rPr>
        <w:t>。完整事实自该页“Certain customers of ours…”段至 PDF187首段三项依据结束；内控见 PDF188至189／印刷180至181。相邻 PDF183至190及顾问身份页已核对。</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九、琻捷：设计与合同制造分开核查</w:t>
      </w:r>
    </w:p>
    <w:tbl>
      <w:tblPr>
        <w:tblW w:type="dxa" w:w="9751"/>
        <w:jc w:val="center"/>
        <w:tblLayout w:type="fixed"/>
        <w:tblLook w:firstColumn="1" w:firstRow="1" w:lastColumn="0" w:lastRow="0" w:noHBand="0" w:noVBand="1" w:val="04A0"/>
        <w:tblBorders>
          <w:top w:val="single" w:sz="4" w:color="D3D4D5"/>
          <w:left w:val="single" w:sz="4" w:color="D3D4D5"/>
          <w:bottom w:val="single" w:sz="4" w:color="D3D4D5"/>
          <w:right w:val="single" w:sz="4" w:color="D3D4D5"/>
          <w:insideH w:val="single" w:sz="4" w:color="D3D4D5"/>
          <w:insideV w:val="single" w:sz="4" w:color="D3D4D5"/>
        </w:tblBorders>
      </w:tblPr>
      <w:tblGrid>
        <w:gridCol w:w="2891"/>
        <w:gridCol w:w="6860"/>
      </w:tblGrid>
      <w:tr>
        <w:trPr>
          <w:tblHeader w:val="true"/>
        </w:trPr>
        <w:tc>
          <w:tcPr>
            <w:tcW w:type="dxa" w:w="289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w:t>
            </w:r>
          </w:p>
        </w:tc>
        <w:tc>
          <w:tcPr>
            <w:tcW w:type="dxa" w:w="6860"/>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文件及顾问</w:t>
            </w:r>
          </w:p>
        </w:tc>
      </w:tr>
      <w:tr>
        <w:trPr>
          <w:cantSplit/>
        </w:trPr>
        <w:tc>
          <w:tcPr>
            <w:tcW w:type="dxa" w:w="2891"/>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琻捷電子科技(江蘇)股份有限公司 / SENASIC Electronics Technology Co., Ltd. / 06675</w:t>
            </w:r>
          </w:p>
        </w:tc>
        <w:tc>
          <w:tcPr>
            <w:tcW w:type="dxa" w:w="6860"/>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英文《Global Offering》正式招股书：2026年6月9日；LPD：2026年6月1日。国际制裁法律顾问：DLA Piper Singapore Pte. Ltd.（PDF26／印刷17）。</w:t>
            </w:r>
          </w:p>
        </w:tc>
      </w:tr>
    </w:tbl>
    <w:p>
      <w:pPr>
        <w:keepNext w:val="0"/>
        <w:spacing w:before="0" w:after="40" w:line="271" w:lineRule="auto"/>
      </w:pPr>
    </w:p>
    <w:p>
      <w:pPr>
        <w:keepNext/>
        <w:spacing w:before="220" w:after="100" w:line="240" w:lineRule="auto"/>
      </w:pPr>
      <w:r>
        <w:rPr>
          <w:rFonts w:ascii="Arial" w:hAnsi="Arial" w:eastAsia="FangSong" w:cs="Arial"/>
          <w:b/>
          <w:i w:val="0"/>
          <w:color w:val="202124"/>
          <w:sz w:val="25"/>
        </w:rPr>
        <w:t>9.1 列名客户销售与列名供应商采购是两条业务</w:t>
      </w:r>
    </w:p>
    <w:p>
      <w:pPr>
        <w:keepNext w:val="0"/>
        <w:spacing w:before="0" w:after="120" w:line="271" w:lineRule="auto"/>
      </w:pPr>
      <w:r>
        <w:rPr>
          <w:rFonts w:ascii="Arial" w:hAnsi="Arial" w:eastAsia="FangSong" w:cs="Arial"/>
          <w:b w:val="0"/>
          <w:i w:val="0"/>
          <w:color w:val="202124"/>
          <w:sz w:val="21"/>
        </w:rPr>
        <w:t>公司在中国以 fabless 模式经营，向一名 Entity List 客户销售非美国原产 EAR99／3A991 产品。相关交易低于2023至2025年记录期总收入的0.03%，未按年或芯片型号拆分。至LPD，交易均已完成，没有未结应付款或待交付事项，并已停止；董事确认未来不再与该客户交易。</w:t>
      </w:r>
    </w:p>
    <w:p>
      <w:pPr>
        <w:keepNext w:val="0"/>
        <w:spacing w:before="0" w:after="120" w:line="271" w:lineRule="auto"/>
      </w:pPr>
      <w:r>
        <w:rPr>
          <w:rFonts w:ascii="Arial" w:hAnsi="Arial" w:eastAsia="FangSong" w:cs="Arial"/>
          <w:b w:val="0"/>
          <w:i w:val="0"/>
          <w:color w:val="202124"/>
          <w:sz w:val="21"/>
        </w:rPr>
        <w:t>公司另向一名 Footnote 5 供应商采购晶圆制造服务并提供制造数据。该供应商</w:t>
      </w:r>
      <w:r>
        <w:rPr>
          <w:rFonts w:ascii="Arial" w:hAnsi="Arial" w:eastAsia="FangSong" w:cs="Arial"/>
          <w:b/>
          <w:i w:val="0"/>
          <w:color w:val="202124"/>
          <w:sz w:val="21"/>
        </w:rPr>
        <w:t>没有参与制造销售给上述列名客户的产品</w:t>
      </w:r>
      <w:r>
        <w:rPr>
          <w:rFonts w:ascii="Arial" w:hAnsi="Arial" w:eastAsia="FangSong" w:cs="Arial"/>
          <w:b w:val="0"/>
          <w:i w:val="0"/>
          <w:color w:val="202124"/>
          <w:sz w:val="21"/>
        </w:rPr>
        <w:t>。这一明确的生产链隔离，是理解两组分析的关键；不能将 Footnote 5 加在客户身上，也不能把给供应商的数据交付视为给客户的数据交付。</w:t>
      </w:r>
    </w:p>
    <w:p>
      <w:pPr>
        <w:keepNext/>
        <w:spacing w:before="220" w:after="100" w:line="240" w:lineRule="auto"/>
      </w:pPr>
      <w:r>
        <w:rPr>
          <w:rFonts w:ascii="Arial" w:hAnsi="Arial" w:eastAsia="FangSong" w:cs="Arial"/>
          <w:b/>
          <w:i w:val="0"/>
          <w:color w:val="202124"/>
          <w:sz w:val="25"/>
        </w:rPr>
        <w:t>9.2 两段 FDPR 核查及一项反事实风险</w:t>
      </w:r>
    </w:p>
    <w:p>
      <w:pPr>
        <w:keepNext w:val="0"/>
        <w:spacing w:before="0" w:after="120" w:line="271" w:lineRule="auto"/>
      </w:pPr>
      <w:r>
        <w:rPr>
          <w:rFonts w:ascii="Arial" w:hAnsi="Arial" w:eastAsia="FangSong" w:cs="Arial"/>
          <w:b w:val="0"/>
          <w:i w:val="0"/>
          <w:color w:val="202124"/>
          <w:sz w:val="21"/>
        </w:rPr>
        <w:t>对自身过程，公司说明相关交易时未在开发、制造或设计中使用所述美国技术、软件或设备。对外包过程，公司另向实际生产相关产品的合同制造商尽调；制造商确认未使用所述受 EAR 管辖技术、软件或设备。公司在咨询 DLA Piper Singapore 后，就两个过程分别解释产品不受相关 FDPR 管辖，并论证交易不违反 EAR。</w:t>
      </w:r>
    </w:p>
    <w:p>
      <w:pPr>
        <w:keepNext w:val="0"/>
        <w:spacing w:before="0" w:after="120" w:line="271" w:lineRule="auto"/>
      </w:pPr>
      <w:r>
        <w:rPr>
          <w:rFonts w:ascii="Arial" w:hAnsi="Arial" w:eastAsia="FangSong" w:cs="Arial"/>
          <w:b w:val="0"/>
          <w:i w:val="0"/>
          <w:color w:val="202124"/>
          <w:sz w:val="21"/>
        </w:rPr>
        <w:t>供应商段的确认文件则限制成品向 Footnote 1、3、4实体或军用终端用户直接或间接销售。原文据此认为该供应商生产可能涉及受控美国技术等，并依赖“未参与上述客户产品制造”的事实隔离相关风险。这与针对列名客户产品制造商取得的确认不是同一份证明。</w:t>
      </w:r>
    </w:p>
    <w:p>
      <w:pPr>
        <w:keepNext w:val="0"/>
        <w:spacing w:before="0" w:after="120" w:line="271" w:lineRule="auto"/>
      </w:pPr>
      <w:r>
        <w:rPr>
          <w:rFonts w:ascii="Arial" w:hAnsi="Arial" w:eastAsia="FangSong" w:cs="Arial"/>
          <w:b w:val="0"/>
          <w:i w:val="0"/>
          <w:color w:val="202124"/>
          <w:sz w:val="21"/>
        </w:rPr>
        <w:t>风险因素还保留：若合同制造商使用相关受控技术等，最终产品可能受 EAR；若是如此，列名后历史销售的问题不会因为后来停止交易而消失。该限定应与业务章节的正面结论一并阅读。</w:t>
      </w:r>
    </w:p>
    <w:p>
      <w:pPr>
        <w:keepNext/>
        <w:spacing w:before="220" w:after="100" w:line="240" w:lineRule="auto"/>
      </w:pPr>
      <w:r>
        <w:rPr>
          <w:rFonts w:ascii="Arial" w:hAnsi="Arial" w:eastAsia="FangSong" w:cs="Arial"/>
          <w:b/>
          <w:i w:val="0"/>
          <w:color w:val="202124"/>
          <w:sz w:val="25"/>
        </w:rPr>
        <w:t>9.3 董事与保荐人意见分别归属</w:t>
      </w:r>
    </w:p>
    <w:p>
      <w:pPr>
        <w:keepNext w:val="0"/>
        <w:spacing w:before="0" w:after="120" w:line="271" w:lineRule="auto"/>
      </w:pPr>
      <w:r>
        <w:rPr>
          <w:rFonts w:ascii="Arial" w:hAnsi="Arial" w:eastAsia="FangSong" w:cs="Arial"/>
          <w:b w:val="0"/>
          <w:i w:val="0"/>
          <w:color w:val="202124"/>
          <w:sz w:val="21"/>
        </w:rPr>
        <w:t>董事以历史交易合法性、已停止及金额较小判断对业务和财务表现无重大不利影响。联席保荐人的工作包括公司访谈、审阅制裁顾问法律备忘录及对集团进行背景／公开搜索，结论为没有事项引起其对董事观点的怀疑。该表述不等于保荐人独立认证每一制造商的设备、技术或物项分类。</w:t>
      </w:r>
    </w:p>
    <w:p>
      <w:pPr>
        <w:keepNext w:val="0"/>
        <w:spacing w:before="0" w:after="120" w:line="271" w:lineRule="auto"/>
      </w:pPr>
      <w:r>
        <w:rPr>
          <w:rFonts w:ascii="Arial" w:hAnsi="Arial" w:eastAsia="FangSong" w:cs="Arial"/>
          <w:b/>
          <w:i w:val="0"/>
          <w:color w:val="202124"/>
          <w:sz w:val="21"/>
        </w:rPr>
        <w:t>可借鉴之处：</w:t>
      </w:r>
      <w:r>
        <w:rPr>
          <w:rFonts w:ascii="Arial" w:hAnsi="Arial" w:eastAsia="FangSong" w:cs="Arial"/>
          <w:b w:val="0"/>
          <w:i w:val="0"/>
          <w:color w:val="202124"/>
          <w:sz w:val="21"/>
        </w:rPr>
        <w:t xml:space="preserve"> 说明实际生产链，分别列公司确认、外包商确认、律师分析和保荐人尽调。</w:t>
      </w:r>
      <w:r>
        <w:rPr>
          <w:rFonts w:ascii="Arial" w:hAnsi="Arial" w:eastAsia="FangSong" w:cs="Arial"/>
          <w:b/>
          <w:i w:val="0"/>
          <w:color w:val="202124"/>
          <w:sz w:val="21"/>
        </w:rPr>
        <w:t>适用差异：</w:t>
      </w:r>
      <w:r>
        <w:rPr>
          <w:rFonts w:ascii="Arial" w:hAnsi="Arial" w:eastAsia="FangSong" w:cs="Arial"/>
          <w:b w:val="0"/>
          <w:i w:val="0"/>
          <w:color w:val="202124"/>
          <w:sz w:val="21"/>
        </w:rPr>
        <w:t xml:space="preserve"> 客户 Footnote、确切列名／停止日、型号及制造商确认书未在相关披露公开；不能把一条不参与该客户产品生产的供应链结论转用于另一条生产链。</w:t>
      </w:r>
    </w:p>
    <w:p>
      <w:pPr>
        <w:keepNext w:val="0"/>
        <w:spacing w:before="0" w:after="120" w:line="271" w:lineRule="auto"/>
      </w:pPr>
      <w:r>
        <w:rPr>
          <w:rFonts w:ascii="Arial" w:hAnsi="Arial" w:eastAsia="FangSong" w:cs="Arial"/>
          <w:b w:val="0"/>
          <w:i w:val="0"/>
          <w:color w:val="3B3D40"/>
          <w:sz w:val="18"/>
        </w:rPr>
        <w:t xml:space="preserve">短摘录：“we sold products to one customer on the Entity List.” </w:t>
      </w:r>
      <w:hyperlink r:id="rId15">
        <w:r>
          <w:rPr>
            <w:rFonts w:ascii="Arial" w:hAnsi="Arial" w:eastAsia="FangSong"/>
            <w:color w:val="3B3D40"/>
            <w:u w:val="single"/>
            <w:sz w:val="18"/>
          </w:rPr>
          <w:t>官方招股书：PDF185／印刷176</w:t>
        </w:r>
      </w:hyperlink>
      <w:r>
        <w:rPr>
          <w:rFonts w:ascii="Arial" w:hAnsi="Arial" w:eastAsia="FangSong" w:cs="Arial"/>
          <w:b w:val="0"/>
          <w:i w:val="0"/>
          <w:color w:val="3B3D40"/>
          <w:sz w:val="18"/>
        </w:rPr>
        <w:t>。该页“During the Track Record Period, we did not have direct sales…”起至保荐人结论为完整客户段；供应商段续至 PDF186首段。风险因素见 PDF46／印刷37；相邻 PDF45至47及184至187已核对。</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十、时间边界对照：爱芯元智</w:t>
      </w:r>
    </w:p>
    <w:tbl>
      <w:tblPr>
        <w:tblW w:type="dxa" w:w="9751"/>
        <w:jc w:val="center"/>
        <w:tblLayout w:type="fixed"/>
        <w:tblLook w:firstColumn="1" w:firstRow="1" w:lastColumn="0" w:lastRow="0" w:noHBand="0" w:noVBand="1" w:val="04A0"/>
        <w:tblBorders>
          <w:top w:val="single" w:sz="4" w:color="D3D4D5"/>
          <w:left w:val="single" w:sz="4" w:color="D3D4D5"/>
          <w:bottom w:val="single" w:sz="4" w:color="D3D4D5"/>
          <w:right w:val="single" w:sz="4" w:color="D3D4D5"/>
          <w:insideH w:val="single" w:sz="4" w:color="D3D4D5"/>
          <w:insideV w:val="single" w:sz="4" w:color="D3D4D5"/>
        </w:tblBorders>
      </w:tblPr>
      <w:tblGrid>
        <w:gridCol w:w="2891"/>
        <w:gridCol w:w="6860"/>
      </w:tblGrid>
      <w:tr>
        <w:trPr>
          <w:tblHeader w:val="true"/>
        </w:trPr>
        <w:tc>
          <w:tcPr>
            <w:tcW w:type="dxa" w:w="289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w:t>
            </w:r>
          </w:p>
        </w:tc>
        <w:tc>
          <w:tcPr>
            <w:tcW w:type="dxa" w:w="6860"/>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文件及顾问</w:t>
            </w:r>
          </w:p>
        </w:tc>
      </w:tr>
      <w:tr>
        <w:trPr>
          <w:cantSplit/>
        </w:trPr>
        <w:tc>
          <w:tcPr>
            <w:tcW w:type="dxa" w:w="2891"/>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愛芯元智半導體股份有限公司 / Axera Semiconductor Co., Ltd. / 00600</w:t>
            </w:r>
          </w:p>
        </w:tc>
        <w:tc>
          <w:tcPr>
            <w:tcW w:type="dxa" w:w="6860"/>
            <w:tcMar>
              <w:top w:w="85" w:type="dxa"/>
              <w:start w:w="120" w:type="dxa"/>
              <w:bottom w:w="85" w:type="dxa"/>
              <w:end w:w="120" w:type="dxa"/>
            </w:tcMar>
            <w:shd w:fill="FFFFFF"/>
          </w:tcPr>
          <w:p>
            <w:pPr>
              <w:keepNext w:val="0"/>
              <w:spacing w:before="0" w:after="0" w:line="250" w:lineRule="auto"/>
            </w:pPr>
            <w:r/>
            <w:r>
              <w:rPr>
                <w:rFonts w:ascii="Arial" w:hAnsi="Arial" w:eastAsia="FangSong" w:cs="Arial"/>
                <w:b w:val="0"/>
                <w:i w:val="0"/>
                <w:color w:val="202124"/>
                <w:sz w:val="18"/>
              </w:rPr>
              <w:t>英文《Global Offering》正式招股书：2026年1月30日；LPD：2026年1月23日。美国出口管制及制裁顾问：Pillsbury Winthrop Shaw Pittman LLP（PDF39／印刷30；PDF95／印刷86）。本例单列为时间对照，不计入前述五家主要销售先例。</w:t>
            </w:r>
          </w:p>
        </w:tc>
      </w:tr>
    </w:tbl>
    <w:p>
      <w:pPr>
        <w:keepNext w:val="0"/>
        <w:spacing w:before="0" w:after="40" w:line="271" w:lineRule="auto"/>
      </w:pPr>
    </w:p>
    <w:tbl>
      <w:tblPr>
        <w:tblW w:type="dxa" w:w="9751"/>
        <w:tblLayout w:type="fixed"/>
        <w:tblLook w:firstColumn="1" w:firstRow="1" w:lastColumn="0" w:lastRow="0" w:noHBand="0" w:noVBand="1" w:val="04A0"/>
        <w:jc w:val="center"/>
        <w:tblBorders>
          <w:top w:val="single" w:sz="4" w:color="D3D4D5"/>
          <w:left w:val="single" w:sz="4" w:color="D3D4D5"/>
          <w:bottom w:val="single" w:sz="4" w:color="D3D4D5"/>
          <w:right w:val="single" w:sz="4" w:color="D3D4D5"/>
          <w:insideH w:val="single" w:sz="4" w:color="D3D4D5"/>
          <w:insideV w:val="single" w:sz="4" w:color="D3D4D5"/>
        </w:tblBorders>
      </w:tblPr>
      <w:tblGrid>
        <w:gridCol w:w="1247"/>
        <w:gridCol w:w="1417"/>
        <w:gridCol w:w="2268"/>
        <w:gridCol w:w="2665"/>
        <w:gridCol w:w="2154"/>
      </w:tblGrid>
      <w:tr>
        <w:trPr>
          <w:tblHeader w:val="true"/>
        </w:trPr>
        <w:tc>
          <w:tcPr>
            <w:tcW w:type="dxa" w:w="1247"/>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匿名客户</w:t>
            </w:r>
          </w:p>
        </w:tc>
        <w:tc>
          <w:tcPr>
            <w:tcW w:type="dxa" w:w="1417"/>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Entity List 列名</w:t>
            </w:r>
          </w:p>
        </w:tc>
        <w:tc>
          <w:tcPr>
            <w:tcW w:type="dxa" w:w="226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特定 Footnote</w:t>
            </w:r>
          </w:p>
        </w:tc>
        <w:tc>
          <w:tcPr>
            <w:tcW w:type="dxa" w:w="2665"/>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最后交易／停止</w:t>
            </w:r>
          </w:p>
        </w:tc>
        <w:tc>
          <w:tcPr>
            <w:tcW w:type="dxa" w:w="215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原文支持的比较</w:t>
            </w:r>
          </w:p>
        </w:tc>
      </w:tr>
      <w:tr>
        <w:trPr>
          <w:cantSplit/>
        </w:trPr>
        <w:tc>
          <w:tcPr>
            <w:tcW w:type="dxa" w:w="1247"/>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Customer 1</w:t>
            </w:r>
          </w:p>
        </w:tc>
        <w:tc>
          <w:tcPr>
            <w:tcW w:type="dxa" w:w="1417"/>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2019年10月</w:t>
            </w:r>
          </w:p>
        </w:tc>
        <w:tc>
          <w:tcPr>
            <w:tcW w:type="dxa" w:w="226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2022年10月获 Footnote 4 标记；确切生效日未单列</w:t>
            </w:r>
          </w:p>
        </w:tc>
        <w:tc>
          <w:tcPr>
            <w:tcW w:type="dxa" w:w="2665"/>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2022年10月14日停止全部业务；原文明确早于该客户 Footnote 4 生效</w:t>
            </w:r>
          </w:p>
        </w:tc>
        <w:tc>
          <w:tcPr>
            <w:tcW w:type="dxa" w:w="215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列名后但 Footnote 4 生效前的历史销售分析</w:t>
            </w:r>
          </w:p>
        </w:tc>
      </w:tr>
      <w:tr>
        <w:trPr>
          <w:cantSplit/>
        </w:trPr>
        <w:tc>
          <w:tcPr>
            <w:tcW w:type="dxa" w:w="1247"/>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Customer 2</w:t>
            </w:r>
          </w:p>
        </w:tc>
        <w:tc>
          <w:tcPr>
            <w:tcW w:type="dxa" w:w="1417"/>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2021年7月</w:t>
            </w:r>
          </w:p>
        </w:tc>
        <w:tc>
          <w:tcPr>
            <w:tcW w:type="dxa" w:w="226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原文明确无 Footnote 4 或其他特殊标记</w:t>
            </w:r>
          </w:p>
        </w:tc>
        <w:tc>
          <w:tcPr>
            <w:tcW w:type="dxa" w:w="2665"/>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2022年5月完成最后订单，此后无业务</w:t>
            </w:r>
          </w:p>
        </w:tc>
        <w:tc>
          <w:tcPr>
            <w:tcW w:type="dxa" w:w="215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一般 Entity List 客户的历史销售分析</w:t>
            </w:r>
          </w:p>
        </w:tc>
      </w:tr>
    </w:tbl>
    <w:p>
      <w:pPr>
        <w:keepNext w:val="0"/>
        <w:spacing w:before="0" w:after="60" w:line="271" w:lineRule="auto"/>
      </w:pPr>
    </w:p>
    <w:p>
      <w:pPr>
        <w:keepNext w:val="0"/>
        <w:spacing w:before="0" w:after="120" w:line="271" w:lineRule="auto"/>
      </w:pPr>
      <w:r>
        <w:rPr>
          <w:rFonts w:ascii="Arial" w:hAnsi="Arial" w:eastAsia="FangSong" w:cs="Arial"/>
          <w:b/>
          <w:i w:val="0"/>
          <w:color w:val="202124"/>
          <w:sz w:val="21"/>
        </w:rPr>
        <w:t>产品与顾问意见。</w:t>
      </w:r>
      <w:r>
        <w:rPr>
          <w:rFonts w:ascii="Arial" w:hAnsi="Arial" w:eastAsia="FangSong" w:cs="Arial"/>
          <w:b w:val="0"/>
          <w:i w:val="0"/>
          <w:color w:val="202124"/>
          <w:sz w:val="21"/>
        </w:rPr>
        <w:t xml:space="preserve"> 两名客户购买公司芯片产品，但有关型号及各自收入未在该段单独列示。Pillsbury分别判断销售给两名客户的产品不受 EAR，历史销售未违反 EAR。前文说明，公司使用3D991／5D991类美国原产EDA进行设计，但EDA没有嵌入设计或与芯片捆绑；设计工具使用问题另按FDP分析，不以此触发 de minimis。</w:t>
      </w:r>
    </w:p>
    <w:p>
      <w:pPr>
        <w:keepNext w:val="0"/>
        <w:spacing w:before="0" w:after="120" w:line="271" w:lineRule="auto"/>
      </w:pPr>
      <w:r>
        <w:rPr>
          <w:rFonts w:ascii="Arial" w:hAnsi="Arial" w:eastAsia="FangSong" w:cs="Arial"/>
          <w:b/>
          <w:i w:val="0"/>
          <w:color w:val="202124"/>
          <w:sz w:val="21"/>
        </w:rPr>
        <w:t>不同交易期间和主体的分析应独立列示。</w:t>
      </w:r>
      <w:r>
        <w:rPr>
          <w:rFonts w:ascii="Arial" w:hAnsi="Arial" w:eastAsia="FangSong" w:cs="Arial"/>
          <w:b w:val="0"/>
          <w:i w:val="0"/>
          <w:color w:val="202124"/>
          <w:sz w:val="21"/>
        </w:rPr>
        <w:t xml:space="preserve"> 邻段对 Footnote 5 供应商的GDS文件、2025年DD IFR及OSAT安排作独立分析。它们不是2022年两个客户交易的补充许可，也不能把2025年某节点产品收入当作两个客户的历史收入。</w:t>
      </w:r>
    </w:p>
    <w:p>
      <w:pPr>
        <w:keepNext w:val="0"/>
        <w:spacing w:before="0" w:after="120" w:line="271" w:lineRule="auto"/>
      </w:pPr>
      <w:r>
        <w:rPr>
          <w:rFonts w:ascii="Arial" w:hAnsi="Arial" w:eastAsia="FangSong" w:cs="Arial"/>
          <w:b/>
          <w:i w:val="0"/>
          <w:color w:val="202124"/>
          <w:sz w:val="21"/>
        </w:rPr>
        <w:t>披露借鉴。</w:t>
      </w:r>
      <w:r>
        <w:rPr>
          <w:rFonts w:ascii="Arial" w:hAnsi="Arial" w:eastAsia="FangSong" w:cs="Arial"/>
          <w:b w:val="0"/>
          <w:i w:val="0"/>
          <w:color w:val="202124"/>
          <w:sz w:val="21"/>
        </w:rPr>
        <w:t xml:space="preserve"> 把“列名—特殊标记生效—最后订单／停止”放在同一表格，比仅写“已经停止”更能解释历史销售。就Customer 1而言，可核实的是停止早于Footnote生效这一先后关系；本报告没有推算原文未给出的确切生效日。</w:t>
      </w:r>
    </w:p>
    <w:p>
      <w:pPr>
        <w:keepNext w:val="0"/>
        <w:spacing w:before="0" w:after="120" w:line="271" w:lineRule="auto"/>
      </w:pPr>
      <w:r>
        <w:rPr>
          <w:rFonts w:ascii="Arial" w:hAnsi="Arial" w:eastAsia="FangSong" w:cs="Arial"/>
          <w:b w:val="0"/>
          <w:i w:val="0"/>
          <w:color w:val="3B3D40"/>
          <w:sz w:val="18"/>
        </w:rPr>
        <w:t>短摘录：“before the effective date of the ‘Footnote 4’ designation”。</w:t>
      </w:r>
      <w:hyperlink r:id="rId16">
        <w:r>
          <w:rPr>
            <w:rFonts w:ascii="Arial" w:hAnsi="Arial" w:eastAsia="FangSong"/>
            <w:color w:val="3B3D40"/>
            <w:u w:val="single"/>
            <w:sz w:val="18"/>
          </w:rPr>
          <w:t>官方招股书：PDF135／印刷126</w:t>
        </w:r>
      </w:hyperlink>
      <w:r>
        <w:rPr>
          <w:rFonts w:ascii="Arial" w:hAnsi="Arial" w:eastAsia="FangSong" w:cs="Arial"/>
          <w:b w:val="0"/>
          <w:i w:val="0"/>
          <w:color w:val="3B3D40"/>
          <w:sz w:val="18"/>
        </w:rPr>
        <w:t>。该页“Two of our customers…”一段涵盖两客户完整时间与意见；技术分析始于PDF134，意见及保荐人表述见PDF136；相邻PDF133至138已核对。</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十一、披露安排及尽职调查事项</w:t>
      </w:r>
    </w:p>
    <w:p>
      <w:pPr>
        <w:keepNext w:val="0"/>
        <w:spacing w:before="0" w:after="120" w:line="271" w:lineRule="auto"/>
      </w:pPr>
      <w:r>
        <w:rPr>
          <w:rFonts w:ascii="Arial" w:hAnsi="Arial" w:eastAsia="FangSong" w:cs="Arial"/>
          <w:b w:val="0"/>
          <w:i w:val="0"/>
          <w:color w:val="202124"/>
          <w:sz w:val="21"/>
        </w:rPr>
        <w:t>以下是根据上述先例归纳的资料组织方式，供项目组使用；各项内容须以实际交易和相关专业顾问工作为基础。</w:t>
      </w:r>
    </w:p>
    <w:tbl>
      <w:tblPr>
        <w:tblW w:type="dxa" w:w="9751"/>
        <w:tblLayout w:type="fixed"/>
        <w:tblLook w:firstColumn="1" w:firstRow="1" w:lastColumn="0" w:lastRow="0" w:noHBand="0" w:noVBand="1" w:val="04A0"/>
        <w:jc w:val="center"/>
        <w:tblBorders>
          <w:top w:val="single" w:sz="4" w:color="D3D4D5"/>
          <w:left w:val="single" w:sz="4" w:color="D3D4D5"/>
          <w:bottom w:val="single" w:sz="4" w:color="D3D4D5"/>
          <w:right w:val="single" w:sz="4" w:color="D3D4D5"/>
          <w:insideH w:val="single" w:sz="4" w:color="D3D4D5"/>
          <w:insideV w:val="single" w:sz="4" w:color="D3D4D5"/>
        </w:tblBorders>
      </w:tblPr>
      <w:tblGrid>
        <w:gridCol w:w="1474"/>
        <w:gridCol w:w="3118"/>
        <w:gridCol w:w="3345"/>
        <w:gridCol w:w="1814"/>
      </w:tblGrid>
      <w:tr>
        <w:trPr>
          <w:tblHeader w:val="true"/>
        </w:trPr>
        <w:tc>
          <w:tcPr>
            <w:tcW w:type="dxa" w:w="147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工作内容</w:t>
            </w:r>
          </w:p>
        </w:tc>
        <w:tc>
          <w:tcPr>
            <w:tcW w:type="dxa" w:w="311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应形成的事实／分析记录</w:t>
            </w:r>
          </w:p>
        </w:tc>
        <w:tc>
          <w:tcPr>
            <w:tcW w:type="dxa" w:w="3345"/>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招股书中的对应披露</w:t>
            </w:r>
          </w:p>
        </w:tc>
        <w:tc>
          <w:tcPr>
            <w:tcW w:type="dxa" w:w="181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先例参考</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客户及名单核对</w:t>
            </w:r>
          </w:p>
        </w:tc>
        <w:tc>
          <w:tcPr>
            <w:tcW w:type="dxa" w:w="311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合同主体、收货人、最终用户、别名及地址；列名和Footnote生效时间；主体间关系</w:t>
            </w:r>
          </w:p>
        </w:tc>
        <w:tc>
          <w:tcPr>
            <w:tcW w:type="dxa" w:w="3345"/>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说明客户标签、角色和具体标记，避免不同客户合并</w:t>
            </w:r>
          </w:p>
        </w:tc>
        <w:tc>
          <w:tcPr>
            <w:tcW w:type="dxa" w:w="181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龙旗客户表交叉引用；珞石Footnote 4子集</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订单时间线</w:t>
            </w:r>
          </w:p>
        </w:tc>
        <w:tc>
          <w:tcPr>
            <w:tcW w:type="dxa" w:w="311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订单、交付、软件访问／更新、付款与停止安排，逐一对照列名时点</w:t>
            </w:r>
          </w:p>
        </w:tc>
        <w:tc>
          <w:tcPr>
            <w:tcW w:type="dxa" w:w="3345"/>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分开写列名前、列名后及特殊标记生效后的交易</w:t>
            </w:r>
          </w:p>
        </w:tc>
        <w:tc>
          <w:tcPr>
            <w:tcW w:type="dxa" w:w="181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爱芯元智双客户时间表</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产品及生产链</w:t>
            </w:r>
          </w:p>
        </w:tc>
        <w:tc>
          <w:tcPr>
            <w:tcW w:type="dxa" w:w="311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SKU、技术参数、原产地、组件及捆绑软件；设计、制造和外包所用技术／软件</w:t>
            </w:r>
          </w:p>
        </w:tc>
        <w:tc>
          <w:tcPr>
            <w:tcW w:type="dxa" w:w="3345"/>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区分投入物、成品和服务；说明判断所依据的事实</w:t>
            </w:r>
          </w:p>
        </w:tc>
        <w:tc>
          <w:tcPr>
            <w:tcW w:type="dxa" w:w="181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天域原料／成品；赛目工具；琻捷制造链</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专项法律分析</w:t>
            </w:r>
          </w:p>
        </w:tc>
        <w:tc>
          <w:tcPr>
            <w:tcW w:type="dxa" w:w="311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适用历史版本、EAR管辖、de minimis、相关FDP范围及许可要求；意见前提和例外</w:t>
            </w:r>
          </w:p>
        </w:tc>
        <w:tc>
          <w:tcPr>
            <w:tcW w:type="dxa" w:w="3345"/>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明确由谁出具、覆盖哪些产品／客户／期间，保留限定措辞</w:t>
            </w:r>
          </w:p>
        </w:tc>
        <w:tc>
          <w:tcPr>
            <w:tcW w:type="dxa" w:w="181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各案例具名顾问分析</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金额及重大性</w:t>
            </w:r>
          </w:p>
        </w:tc>
        <w:tc>
          <w:tcPr>
            <w:tcW w:type="dxa" w:w="311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客户收入与财务记录勾稽；受影响毛利、应收款、订单和替代性另按实际事实分析</w:t>
            </w:r>
          </w:p>
        </w:tc>
        <w:tc>
          <w:tcPr>
            <w:tcW w:type="dxa" w:w="3345"/>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列示金额、比例及统计范围，说明停止或持续业务影响</w:t>
            </w:r>
          </w:p>
        </w:tc>
        <w:tc>
          <w:tcPr>
            <w:tcW w:type="dxa" w:w="181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龙旗客户表；珞石子集；琻捷记录期比例</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后续控制</w:t>
            </w:r>
          </w:p>
        </w:tc>
        <w:tc>
          <w:tcPr>
            <w:tcW w:type="dxa" w:w="311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客户准入、复筛、异常升级、合同权利、培训；区分既有制度与后续增强</w:t>
            </w:r>
          </w:p>
        </w:tc>
        <w:tc>
          <w:tcPr>
            <w:tcW w:type="dxa" w:w="3345"/>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交代执行主体、实施日期及检查范围</w:t>
            </w:r>
          </w:p>
        </w:tc>
        <w:tc>
          <w:tcPr>
            <w:tcW w:type="dxa" w:w="181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珞石2025年增强；天域法务／财务半年复核</w:t>
            </w:r>
          </w:p>
        </w:tc>
      </w:tr>
    </w:tbl>
    <w:p>
      <w:pPr>
        <w:keepNext w:val="0"/>
        <w:spacing w:before="0" w:after="60" w:line="271" w:lineRule="auto"/>
      </w:pPr>
    </w:p>
    <w:p>
      <w:pPr>
        <w:keepNext/>
        <w:spacing w:before="220" w:after="100" w:line="240" w:lineRule="auto"/>
      </w:pPr>
      <w:r>
        <w:rPr>
          <w:rFonts w:ascii="Arial" w:hAnsi="Arial" w:eastAsia="FangSong" w:cs="Arial"/>
          <w:b/>
          <w:i w:val="0"/>
          <w:color w:val="202124"/>
          <w:sz w:val="25"/>
        </w:rPr>
        <w:t>意见归属</w:t>
      </w:r>
    </w:p>
    <w:p>
      <w:pPr>
        <w:keepNext w:val="0"/>
        <w:spacing w:before="0" w:after="120" w:line="271" w:lineRule="auto"/>
      </w:pPr>
      <w:r>
        <w:rPr>
          <w:rFonts w:ascii="Arial" w:hAnsi="Arial" w:eastAsia="FangSong" w:cs="Arial"/>
          <w:b w:val="0"/>
          <w:i w:val="0"/>
          <w:color w:val="202124"/>
          <w:sz w:val="21"/>
        </w:rPr>
        <w:t>公司提供并确认交易、产品和生产链事实；律师就明确事实和范围作法律分析；董事评价业务及财务影响；保荐人说明自身尽调工作及结论。需要财务勾稽或会计处理判断时，另按适用工作范围处理，不能由出口管制先例推定会计师已经确认。</w:t>
      </w:r>
    </w:p>
    <w:p>
      <w:pPr>
        <w:keepNext w:val="0"/>
        <w:spacing w:before="0" w:after="120" w:line="271" w:lineRule="auto"/>
      </w:pPr>
      <w:r>
        <w:rPr>
          <w:rFonts w:ascii="Arial" w:hAnsi="Arial" w:eastAsia="FangSong" w:cs="Arial"/>
          <w:b/>
          <w:i w:val="0"/>
          <w:color w:val="202124"/>
          <w:sz w:val="21"/>
        </w:rPr>
        <w:t>建议的披露顺序：</w:t>
      </w:r>
      <w:r>
        <w:rPr>
          <w:rFonts w:ascii="Arial" w:hAnsi="Arial" w:eastAsia="FangSong" w:cs="Arial"/>
          <w:b w:val="0"/>
          <w:i w:val="0"/>
          <w:color w:val="202124"/>
          <w:sz w:val="21"/>
        </w:rPr>
        <w:t xml:space="preserve"> 先陈述客户、销售产品和交易规模，再写列名及交易时间，随后说明产品／生产链、律师分析与许可情况，最后交代业务影响、停止或持续安排及内控措施。顾问意见引用应紧接其事实前提，避免在一段末尾用一句“无重大风险”覆盖性质不同的全部往来。</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十二、可比性限制及其他披露对照</w:t>
      </w:r>
    </w:p>
    <w:tbl>
      <w:tblPr>
        <w:tblW w:type="dxa" w:w="9751"/>
        <w:tblLayout w:type="fixed"/>
        <w:tblLook w:firstColumn="1" w:firstRow="1" w:lastColumn="0" w:lastRow="0" w:noHBand="0" w:noVBand="1" w:val="04A0"/>
        <w:jc w:val="center"/>
        <w:tblBorders>
          <w:top w:val="single" w:sz="4" w:color="D3D4D5"/>
          <w:left w:val="single" w:sz="4" w:color="D3D4D5"/>
          <w:bottom w:val="single" w:sz="4" w:color="D3D4D5"/>
          <w:right w:val="single" w:sz="4" w:color="D3D4D5"/>
          <w:insideH w:val="single" w:sz="4" w:color="D3D4D5"/>
          <w:insideV w:val="single" w:sz="4" w:color="D3D4D5"/>
        </w:tblBorders>
      </w:tblPr>
      <w:tblGrid>
        <w:gridCol w:w="2324"/>
        <w:gridCol w:w="3118"/>
        <w:gridCol w:w="4309"/>
      </w:tblGrid>
      <w:tr>
        <w:trPr>
          <w:tblHeader w:val="true"/>
        </w:trPr>
        <w:tc>
          <w:tcPr>
            <w:tcW w:type="dxa" w:w="232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表面相似的情况</w:t>
            </w:r>
          </w:p>
        </w:tc>
        <w:tc>
          <w:tcPr>
            <w:tcW w:type="dxa" w:w="311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比较口径</w:t>
            </w:r>
          </w:p>
        </w:tc>
        <w:tc>
          <w:tcPr>
            <w:tcW w:type="dxa" w:w="4309"/>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原文定位／原因</w:t>
            </w:r>
          </w:p>
        </w:tc>
      </w:tr>
      <w:tr>
        <w:trPr>
          <w:cantSplit/>
        </w:trPr>
        <w:tc>
          <w:tcPr>
            <w:tcW w:type="dxa" w:w="232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Footnote 5供应商提供晶圆制造服务</w:t>
            </w:r>
          </w:p>
        </w:tc>
        <w:tc>
          <w:tcPr>
            <w:tcW w:type="dxa" w:w="311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与向列名客户销售分开；不加入主要销售案例</w:t>
            </w:r>
          </w:p>
        </w:tc>
        <w:tc>
          <w:tcPr>
            <w:tcW w:type="dxa" w:w="4309"/>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琻捷PDF185至186。供应商未制造该客户产品；两组业务不能连成一条生产链</w:t>
            </w:r>
          </w:p>
        </w:tc>
      </w:tr>
      <w:tr>
        <w:trPr>
          <w:cantSplit/>
        </w:trPr>
        <w:tc>
          <w:tcPr>
            <w:tcW w:type="dxa" w:w="232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法规章节提到Footnote</w:t>
            </w:r>
          </w:p>
        </w:tc>
        <w:tc>
          <w:tcPr>
            <w:tcW w:type="dxa" w:w="311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只用来理解该文件分析；未据此认定某客户带该标记</w:t>
            </w:r>
          </w:p>
        </w:tc>
        <w:tc>
          <w:tcPr>
            <w:tcW w:type="dxa" w:w="4309"/>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赛目PDF159至160；客户业务段见PDF360至364。法规中的Footnote 1与业务Note 1含义不同</w:t>
            </w:r>
          </w:p>
        </w:tc>
      </w:tr>
      <w:tr>
        <w:trPr>
          <w:cantSplit/>
        </w:trPr>
        <w:tc>
          <w:tcPr>
            <w:tcW w:type="dxa" w:w="232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Entity List与SDN客户合并金额</w:t>
            </w:r>
          </w:p>
        </w:tc>
        <w:tc>
          <w:tcPr>
            <w:tcW w:type="dxa" w:w="311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不作为纯Entity List客户销售额</w:t>
            </w:r>
          </w:p>
        </w:tc>
        <w:tc>
          <w:tcPr>
            <w:tcW w:type="dxa" w:w="4309"/>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七牛PDF321至323／印刷311至313：17名Entity List及3名SDN客户并列，金额未按两类拆开</w:t>
            </w:r>
          </w:p>
        </w:tc>
      </w:tr>
      <w:tr>
        <w:trPr>
          <w:cantSplit/>
        </w:trPr>
        <w:tc>
          <w:tcPr>
            <w:tcW w:type="dxa" w:w="232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后来才被列名的客户</w:t>
            </w:r>
          </w:p>
        </w:tc>
        <w:tc>
          <w:tcPr>
            <w:tcW w:type="dxa" w:w="311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交易时点单列，不作为列名后销售证明</w:t>
            </w:r>
          </w:p>
        </w:tc>
        <w:tc>
          <w:tcPr>
            <w:tcW w:type="dxa" w:w="4309"/>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海致PDF89、304至305；所引带Footnote客户的2022年收入来自列名前完成的交易</w:t>
            </w:r>
          </w:p>
        </w:tc>
      </w:tr>
      <w:tr>
        <w:trPr>
          <w:cantSplit/>
        </w:trPr>
        <w:tc>
          <w:tcPr>
            <w:tcW w:type="dxa" w:w="232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同一文件中多个匿名客户</w:t>
            </w:r>
          </w:p>
        </w:tc>
        <w:tc>
          <w:tcPr>
            <w:tcW w:type="dxa" w:w="311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只有明确交叉引用才连接产品、金额或Footnote</w:t>
            </w:r>
          </w:p>
        </w:tc>
        <w:tc>
          <w:tcPr>
            <w:tcW w:type="dxa" w:w="4309"/>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华勤PDF202至203：Customer I与另一名停止交易客户不能交换收入及停止信息</w:t>
            </w:r>
          </w:p>
        </w:tc>
      </w:tr>
      <w:tr>
        <w:trPr>
          <w:cantSplit/>
        </w:trPr>
        <w:tc>
          <w:tcPr>
            <w:tcW w:type="dxa" w:w="232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存在关键词但内容为供应商或投资限制</w:t>
            </w:r>
          </w:p>
        </w:tc>
        <w:tc>
          <w:tcPr>
            <w:tcW w:type="dxa" w:w="311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不因关键词排名认作销售先例</w:t>
            </w:r>
          </w:p>
        </w:tc>
        <w:tc>
          <w:tcPr>
            <w:tcW w:type="dxa" w:w="4309"/>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FourSemi PDF198至200为供应商方向；Biren PDF164至167相关命中为规则／投资限制。所引段落不能证明存在相关客户销售</w:t>
            </w:r>
          </w:p>
        </w:tc>
      </w:tr>
    </w:tbl>
    <w:p>
      <w:pPr>
        <w:keepNext w:val="0"/>
        <w:spacing w:before="0" w:after="60" w:line="271" w:lineRule="auto"/>
      </w:pPr>
    </w:p>
    <w:p>
      <w:pPr>
        <w:keepNext/>
        <w:spacing w:before="220" w:after="100" w:line="240" w:lineRule="auto"/>
      </w:pPr>
      <w:r>
        <w:rPr>
          <w:rFonts w:ascii="Arial" w:hAnsi="Arial" w:eastAsia="FangSong" w:cs="Arial"/>
          <w:b/>
          <w:i w:val="0"/>
          <w:color w:val="202124"/>
          <w:sz w:val="25"/>
        </w:rPr>
        <w:t>披露覆盖范围及采用限制</w:t>
      </w:r>
    </w:p>
    <w:p>
      <w:pPr>
        <w:keepNext w:val="0"/>
        <w:spacing w:before="0" w:after="120" w:line="271" w:lineRule="auto"/>
      </w:pPr>
      <w:r>
        <w:rPr>
          <w:rFonts w:ascii="Arial" w:hAnsi="Arial" w:eastAsia="FangSong" w:cs="Arial"/>
          <w:b w:val="0"/>
          <w:i w:val="0"/>
          <w:color w:val="202124"/>
          <w:sz w:val="21"/>
        </w:rPr>
        <w:t>龙旗明确建立了同一文件内客户标签、产品表、收入和列名日的对应关系；五家主要先例的顾问身份均已具名核实。所引六份正式招股书均已核对香港交易所公开原件。</w:t>
      </w:r>
    </w:p>
    <w:p>
      <w:pPr>
        <w:keepNext w:val="0"/>
        <w:spacing w:before="0" w:after="120" w:line="271" w:lineRule="auto"/>
      </w:pPr>
      <w:r>
        <w:rPr>
          <w:rFonts w:ascii="Arial" w:hAnsi="Arial" w:eastAsia="FangSong" w:cs="Arial"/>
          <w:b w:val="0"/>
          <w:i w:val="0"/>
          <w:color w:val="202124"/>
          <w:sz w:val="21"/>
        </w:rPr>
        <w:t>仍没有公开的是足以重作逐客法律分析的完整底稿：各SKU的BOM及分类证明、逐笔订单与Footnote生效时间、制造商确认文件及完整律师工作底稿。相关字段按“未单独列示／未公开”处理，不以匿名客户的推测身份替代原文。</w:t>
      </w:r>
    </w:p>
    <w:p>
      <w:pPr>
        <w:keepNext w:val="0"/>
        <w:spacing w:before="0" w:after="120" w:line="271" w:lineRule="auto"/>
      </w:pPr>
      <w:r>
        <w:rPr>
          <w:rFonts w:ascii="Arial" w:hAnsi="Arial" w:eastAsia="FangSong" w:cs="Arial"/>
          <w:b w:val="0"/>
          <w:i w:val="0"/>
          <w:color w:val="202124"/>
          <w:sz w:val="21"/>
        </w:rPr>
        <w:t>五家主要发行人均有实际销售的原文支持，可作为披露组织及核查方法的参考。将某一法律结论用于具体项目时，仍须匹配实际产品、客户条目、交易期间和生产链；本报告未将跨行业披露相似性等同于交易事实完全可比。最终采用由投行人员结合项目事实判断。</w:t>
      </w:r>
    </w:p>
    <w:p>
      <w:r>
        <w:br w:type="page"/>
      </w:r>
    </w:p>
    <w:p>
      <w:pPr>
        <w:keepNext/>
        <w:spacing w:before="320" w:after="140" w:line="240" w:lineRule="auto"/>
        <w:pBdr>
          <w:bottom w:val="single" w:sz="10" w:space="5" w:color="7A1F2B"/>
        </w:pBdr>
      </w:pPr>
      <w:r>
        <w:rPr>
          <w:rFonts w:ascii="Arial" w:hAnsi="Arial" w:eastAsia="FangSong" w:cs="Arial"/>
          <w:b/>
          <w:i w:val="0"/>
          <w:color w:val="202124"/>
          <w:sz w:val="32"/>
        </w:rPr>
        <w:t>附录一、文件版本及官方来源</w:t>
      </w:r>
    </w:p>
    <w:p>
      <w:pPr>
        <w:keepNext w:val="0"/>
        <w:spacing w:before="0" w:after="120" w:line="271" w:lineRule="auto"/>
      </w:pPr>
      <w:r>
        <w:rPr>
          <w:rFonts w:ascii="Arial" w:hAnsi="Arial" w:eastAsia="FangSong" w:cs="Arial"/>
          <w:b w:val="0"/>
          <w:i w:val="0"/>
          <w:color w:val="202124"/>
          <w:sz w:val="21"/>
        </w:rPr>
        <w:t>以下均为英文正式《Global Offering》招股书，未混用AP、PHIP、年报或后续公告。中文名称及股份代码按所选文件封面／首页核对；PDF页码从文件第一页计，印刷页从原文页脚逐页核对。</w:t>
      </w:r>
    </w:p>
    <w:tbl>
      <w:tblPr>
        <w:tblW w:type="dxa" w:w="9751"/>
        <w:tblLayout w:type="fixed"/>
        <w:tblLook w:firstColumn="1" w:firstRow="1" w:lastColumn="0" w:lastRow="0" w:noHBand="0" w:noVBand="1" w:val="04A0"/>
        <w:jc w:val="center"/>
        <w:tblBorders>
          <w:top w:val="single" w:sz="4" w:color="D3D4D5"/>
          <w:left w:val="single" w:sz="4" w:color="D3D4D5"/>
          <w:bottom w:val="single" w:sz="4" w:color="D3D4D5"/>
          <w:right w:val="single" w:sz="4" w:color="D3D4D5"/>
          <w:insideH w:val="single" w:sz="4" w:color="D3D4D5"/>
          <w:insideV w:val="single" w:sz="4" w:color="D3D4D5"/>
        </w:tblBorders>
      </w:tblPr>
      <w:tblGrid>
        <w:gridCol w:w="1474"/>
        <w:gridCol w:w="2098"/>
        <w:gridCol w:w="2891"/>
        <w:gridCol w:w="3288"/>
      </w:tblGrid>
      <w:tr>
        <w:trPr>
          <w:tblHeader w:val="true"/>
        </w:trPr>
        <w:tc>
          <w:tcPr>
            <w:tcW w:type="dxa" w:w="1474"/>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发行人</w:t>
            </w:r>
          </w:p>
        </w:tc>
        <w:tc>
          <w:tcPr>
            <w:tcW w:type="dxa" w:w="209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文件日期／LPD</w:t>
            </w:r>
          </w:p>
        </w:tc>
        <w:tc>
          <w:tcPr>
            <w:tcW w:type="dxa" w:w="2891"/>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主要PDF页／印刷页</w:t>
            </w:r>
          </w:p>
        </w:tc>
        <w:tc>
          <w:tcPr>
            <w:tcW w:type="dxa" w:w="3288"/>
            <w:vAlign w:val="center"/>
            <w:tcMar>
              <w:top w:w="85" w:type="dxa"/>
              <w:start w:w="120" w:type="dxa"/>
              <w:bottom w:w="85" w:type="dxa"/>
              <w:end w:w="120" w:type="dxa"/>
            </w:tcMar>
            <w:shd w:fill="3B3D40"/>
          </w:tcPr>
          <w:p>
            <w:pPr>
              <w:keepNext w:val="0"/>
              <w:spacing w:before="0" w:after="0" w:line="250" w:lineRule="auto"/>
            </w:pPr>
            <w:r/>
            <w:r>
              <w:rPr>
                <w:rFonts w:ascii="Arial" w:hAnsi="Arial" w:eastAsia="FangSong" w:cs="Arial"/>
                <w:b/>
                <w:i w:val="0"/>
                <w:color w:val="FFFFFF"/>
                <w:sz w:val="18"/>
              </w:rPr>
              <w:t>相邻页及补充定位</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龙旗09611</w:t>
            </w:r>
          </w:p>
        </w:tc>
        <w:tc>
          <w:tcPr>
            <w:tcW w:type="dxa" w:w="209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2026-01-14／2026-01-05</w:t>
            </w:r>
          </w:p>
        </w:tc>
        <w:tc>
          <w:tcPr>
            <w:tcW w:type="dxa" w:w="289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273／263；客户表242至244／232至234</w:t>
            </w:r>
          </w:p>
        </w:tc>
        <w:tc>
          <w:tcPr>
            <w:tcW w:type="dxa" w:w="328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239至245、260至262、271至276；顾问39／29；全文657页</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天域02658</w:t>
            </w:r>
          </w:p>
        </w:tc>
        <w:tc>
          <w:tcPr>
            <w:tcW w:type="dxa" w:w="209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2025-11-27／2025-11-21</w:t>
            </w:r>
          </w:p>
        </w:tc>
        <w:tc>
          <w:tcPr>
            <w:tcW w:type="dxa" w:w="289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331／321</w:t>
            </w:r>
          </w:p>
        </w:tc>
        <w:tc>
          <w:tcPr>
            <w:tcW w:type="dxa" w:w="328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329至334；顾问55／45；全文706页</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赛目02571</w:t>
            </w:r>
          </w:p>
        </w:tc>
        <w:tc>
          <w:tcPr>
            <w:tcW w:type="dxa" w:w="209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2024-12-31／2024-12-22</w:t>
            </w:r>
          </w:p>
        </w:tc>
        <w:tc>
          <w:tcPr>
            <w:tcW w:type="dxa" w:w="289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360至364／350至354</w:t>
            </w:r>
          </w:p>
        </w:tc>
        <w:tc>
          <w:tcPr>
            <w:tcW w:type="dxa" w:w="328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359至365；风险69／59；法规159至160；全文762页</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珞石03752</w:t>
            </w:r>
          </w:p>
        </w:tc>
        <w:tc>
          <w:tcPr>
            <w:tcW w:type="dxa" w:w="209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2026-06-30／2026-06-20</w:t>
            </w:r>
          </w:p>
        </w:tc>
        <w:tc>
          <w:tcPr>
            <w:tcW w:type="dxa" w:w="289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186至189／178至181</w:t>
            </w:r>
          </w:p>
        </w:tc>
        <w:tc>
          <w:tcPr>
            <w:tcW w:type="dxa" w:w="328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183至190；顾问23／15、429／VI-11；全文432页</w:t>
            </w:r>
          </w:p>
        </w:tc>
      </w:tr>
      <w:tr>
        <w:trPr>
          <w:cantSplit/>
        </w:trPr>
        <w:tc>
          <w:tcPr>
            <w:tcW w:type="dxa" w:w="1474"/>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琻捷06675</w:t>
            </w:r>
          </w:p>
        </w:tc>
        <w:tc>
          <w:tcPr>
            <w:tcW w:type="dxa" w:w="209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2026-06-09／2026-06-01</w:t>
            </w:r>
          </w:p>
        </w:tc>
        <w:tc>
          <w:tcPr>
            <w:tcW w:type="dxa" w:w="2891"/>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185至186／176至177；风险46／37</w:t>
            </w:r>
          </w:p>
        </w:tc>
        <w:tc>
          <w:tcPr>
            <w:tcW w:type="dxa" w:w="3288"/>
            <w:tcMar>
              <w:top w:w="85" w:type="dxa"/>
              <w:start w:w="120" w:type="dxa"/>
              <w:bottom w:w="85" w:type="dxa"/>
              <w:end w:w="120" w:type="dxa"/>
            </w:tcMar>
            <w:shd w:fill="FFFFFF"/>
            <w:vAlign w:val="center"/>
          </w:tcPr>
          <w:p>
            <w:pPr>
              <w:keepNext w:val="0"/>
              <w:spacing w:before="0" w:after="0" w:line="250" w:lineRule="auto"/>
            </w:pPr>
            <w:r/>
            <w:r>
              <w:rPr>
                <w:rFonts w:ascii="Arial" w:hAnsi="Arial" w:eastAsia="FangSong" w:cs="Arial"/>
                <w:b w:val="0"/>
                <w:i w:val="0"/>
                <w:color w:val="202124"/>
                <w:sz w:val="18"/>
              </w:rPr>
              <w:t>45至47、184至187；顾问26／17；全文388页</w:t>
            </w:r>
          </w:p>
        </w:tc>
      </w:tr>
      <w:tr>
        <w:trPr>
          <w:cantSplit/>
        </w:trPr>
        <w:tc>
          <w:tcPr>
            <w:tcW w:type="dxa" w:w="1474"/>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爱芯元智00600（对照）</w:t>
            </w:r>
          </w:p>
        </w:tc>
        <w:tc>
          <w:tcPr>
            <w:tcW w:type="dxa" w:w="209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2026-01-30／2026-01-23</w:t>
            </w:r>
          </w:p>
        </w:tc>
        <w:tc>
          <w:tcPr>
            <w:tcW w:type="dxa" w:w="2891"/>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134至136／125至127</w:t>
            </w:r>
          </w:p>
        </w:tc>
        <w:tc>
          <w:tcPr>
            <w:tcW w:type="dxa" w:w="3288"/>
            <w:tcMar>
              <w:top w:w="85" w:type="dxa"/>
              <w:start w:w="120" w:type="dxa"/>
              <w:bottom w:w="85" w:type="dxa"/>
              <w:end w:w="120" w:type="dxa"/>
            </w:tcMar>
            <w:shd w:fill="F5F5F3"/>
            <w:vAlign w:val="center"/>
          </w:tcPr>
          <w:p>
            <w:pPr>
              <w:keepNext w:val="0"/>
              <w:spacing w:before="0" w:after="0" w:line="250" w:lineRule="auto"/>
            </w:pPr>
            <w:r/>
            <w:r>
              <w:rPr>
                <w:rFonts w:ascii="Arial" w:hAnsi="Arial" w:eastAsia="FangSong" w:cs="Arial"/>
                <w:b w:val="0"/>
                <w:i w:val="0"/>
                <w:color w:val="202124"/>
                <w:sz w:val="18"/>
              </w:rPr>
              <w:t>133至138；顾问39／30、95／86；全文533页</w:t>
            </w:r>
          </w:p>
        </w:tc>
      </w:tr>
    </w:tbl>
    <w:p>
      <w:pPr>
        <w:keepNext w:val="0"/>
        <w:spacing w:before="0" w:after="60" w:line="271" w:lineRule="auto"/>
      </w:pPr>
    </w:p>
    <w:p>
      <w:pPr>
        <w:keepNext w:val="0"/>
        <w:spacing w:before="0" w:after="120" w:line="271" w:lineRule="auto"/>
      </w:pPr>
      <w:r>
        <w:rPr>
          <w:rFonts w:ascii="Arial" w:hAnsi="Arial" w:eastAsia="FangSong" w:cs="Arial"/>
          <w:b/>
          <w:i w:val="0"/>
          <w:color w:val="202124"/>
          <w:sz w:val="21"/>
        </w:rPr>
        <w:t>官方PDF完整地址</w:t>
      </w:r>
      <w:r>
        <w:rPr>
          <w:rFonts w:ascii="Arial" w:hAnsi="Arial" w:eastAsia="FangSong" w:cs="Arial"/>
          <w:b w:val="0"/>
          <w:i w:val="0"/>
          <w:color w:val="202124"/>
          <w:sz w:val="21"/>
        </w:rPr>
        <w:t>（逐例分析的链接已指向物理页）：</w:t>
      </w:r>
    </w:p>
    <w:p>
      <w:pPr>
        <w:keepNext w:val="0"/>
        <w:spacing w:before="0" w:after="120" w:line="271" w:lineRule="auto"/>
      </w:pPr>
      <w:r>
        <w:rPr>
          <w:rFonts w:ascii="Arial" w:hAnsi="Arial" w:eastAsia="FangSong" w:cs="Arial"/>
          <w:b w:val="0"/>
          <w:i w:val="0"/>
          <w:color w:val="202124"/>
          <w:sz w:val="21"/>
        </w:rPr>
        <w:t>龙旗：</w:t>
      </w:r>
      <w:hyperlink r:id="rId17">
        <w:r>
          <w:rPr>
            <w:rFonts w:ascii="Arial" w:hAnsi="Arial" w:eastAsia="FangSong"/>
            <w:color w:val="3B3D40"/>
            <w:u w:val="single"/>
            <w:sz w:val="18"/>
          </w:rPr>
          <w:t>HKEX正式招股书</w:t>
        </w:r>
      </w:hyperlink>
    </w:p>
    <w:p>
      <w:pPr>
        <w:keepNext w:val="0"/>
        <w:spacing w:before="0" w:after="120" w:line="271" w:lineRule="auto"/>
      </w:pPr>
      <w:r>
        <w:rPr>
          <w:rFonts w:ascii="Arial" w:hAnsi="Arial" w:eastAsia="FangSong" w:cs="Arial"/>
          <w:b w:val="0"/>
          <w:i w:val="0"/>
          <w:color w:val="202124"/>
          <w:sz w:val="21"/>
        </w:rPr>
        <w:t>天域：</w:t>
      </w:r>
      <w:hyperlink r:id="rId18">
        <w:r>
          <w:rPr>
            <w:rFonts w:ascii="Arial" w:hAnsi="Arial" w:eastAsia="FangSong"/>
            <w:color w:val="3B3D40"/>
            <w:u w:val="single"/>
            <w:sz w:val="18"/>
          </w:rPr>
          <w:t>HKEX正式招股书</w:t>
        </w:r>
      </w:hyperlink>
    </w:p>
    <w:p>
      <w:pPr>
        <w:keepNext w:val="0"/>
        <w:spacing w:before="0" w:after="120" w:line="271" w:lineRule="auto"/>
      </w:pPr>
      <w:r>
        <w:rPr>
          <w:rFonts w:ascii="Arial" w:hAnsi="Arial" w:eastAsia="FangSong" w:cs="Arial"/>
          <w:b w:val="0"/>
          <w:i w:val="0"/>
          <w:color w:val="202124"/>
          <w:sz w:val="21"/>
        </w:rPr>
        <w:t>赛目：</w:t>
      </w:r>
      <w:hyperlink r:id="rId19">
        <w:r>
          <w:rPr>
            <w:rFonts w:ascii="Arial" w:hAnsi="Arial" w:eastAsia="FangSong"/>
            <w:color w:val="3B3D40"/>
            <w:u w:val="single"/>
            <w:sz w:val="18"/>
          </w:rPr>
          <w:t>HKEX正式招股书</w:t>
        </w:r>
      </w:hyperlink>
    </w:p>
    <w:p>
      <w:pPr>
        <w:keepNext w:val="0"/>
        <w:spacing w:before="0" w:after="120" w:line="271" w:lineRule="auto"/>
      </w:pPr>
      <w:r>
        <w:rPr>
          <w:rFonts w:ascii="Arial" w:hAnsi="Arial" w:eastAsia="FangSong" w:cs="Arial"/>
          <w:b w:val="0"/>
          <w:i w:val="0"/>
          <w:color w:val="202124"/>
          <w:sz w:val="21"/>
        </w:rPr>
        <w:t>珞石：</w:t>
      </w:r>
      <w:hyperlink r:id="rId20">
        <w:r>
          <w:rPr>
            <w:rFonts w:ascii="Arial" w:hAnsi="Arial" w:eastAsia="FangSong"/>
            <w:color w:val="3B3D40"/>
            <w:u w:val="single"/>
            <w:sz w:val="18"/>
          </w:rPr>
          <w:t>HKEX正式招股书</w:t>
        </w:r>
      </w:hyperlink>
    </w:p>
    <w:p>
      <w:pPr>
        <w:keepNext w:val="0"/>
        <w:spacing w:before="0" w:after="120" w:line="271" w:lineRule="auto"/>
      </w:pPr>
      <w:r>
        <w:rPr>
          <w:rFonts w:ascii="Arial" w:hAnsi="Arial" w:eastAsia="FangSong" w:cs="Arial"/>
          <w:b w:val="0"/>
          <w:i w:val="0"/>
          <w:color w:val="202124"/>
          <w:sz w:val="21"/>
        </w:rPr>
        <w:t>琻捷：</w:t>
      </w:r>
      <w:hyperlink r:id="rId21">
        <w:r>
          <w:rPr>
            <w:rFonts w:ascii="Arial" w:hAnsi="Arial" w:eastAsia="FangSong"/>
            <w:color w:val="3B3D40"/>
            <w:u w:val="single"/>
            <w:sz w:val="18"/>
          </w:rPr>
          <w:t>HKEX正式招股书</w:t>
        </w:r>
      </w:hyperlink>
    </w:p>
    <w:p>
      <w:pPr>
        <w:keepNext w:val="0"/>
        <w:spacing w:before="0" w:after="120" w:line="271" w:lineRule="auto"/>
      </w:pPr>
      <w:r>
        <w:rPr>
          <w:rFonts w:ascii="Arial" w:hAnsi="Arial" w:eastAsia="FangSong" w:cs="Arial"/>
          <w:b w:val="0"/>
          <w:i w:val="0"/>
          <w:color w:val="202124"/>
          <w:sz w:val="21"/>
        </w:rPr>
        <w:t>爱芯元智：</w:t>
      </w:r>
      <w:hyperlink r:id="rId22">
        <w:r>
          <w:rPr>
            <w:rFonts w:ascii="Arial" w:hAnsi="Arial" w:eastAsia="FangSong"/>
            <w:color w:val="3B3D40"/>
            <w:u w:val="single"/>
            <w:sz w:val="18"/>
          </w:rPr>
          <w:t>HKEX正式招股书</w:t>
        </w:r>
      </w:hyperlink>
    </w:p>
    <w:p>
      <w:pPr>
        <w:keepNext w:val="0"/>
        <w:spacing w:before="0" w:after="120" w:line="271" w:lineRule="auto"/>
      </w:pPr>
      <w:r>
        <w:rPr>
          <w:rFonts w:ascii="Arial" w:hAnsi="Arial" w:eastAsia="FangSong" w:cs="Arial"/>
          <w:b w:val="0"/>
          <w:i w:val="0"/>
          <w:color w:val="3B3D40"/>
          <w:sz w:val="18"/>
        </w:rPr>
        <w:t>资料核对日期：2026年9月6日。各案例所列法律分析均为招股书当时的顾问意见，须结合原文事实前提及限定条件阅读。</w:t>
      </w:r>
    </w:p>
    <w:p>
      <w:pPr>
        <w:keepNext/>
        <w:spacing w:before="220" w:after="100" w:line="240" w:lineRule="auto"/>
      </w:pPr>
      <w:r>
        <w:rPr>
          <w:rFonts w:ascii="Arial" w:hAnsi="Arial" w:eastAsia="FangSong" w:cs="Arial"/>
          <w:b/>
          <w:i w:val="0"/>
          <w:color w:val="202124"/>
          <w:sz w:val="25"/>
        </w:rPr>
        <w:t>研究范围</w:t>
      </w:r>
    </w:p>
    <w:p>
      <w:pPr>
        <w:keepNext w:val="0"/>
        <w:spacing w:before="0" w:after="120" w:line="271" w:lineRule="auto"/>
      </w:pPr>
      <w:r>
        <w:rPr>
          <w:rFonts w:ascii="Arial" w:hAnsi="Arial" w:eastAsia="FangSong" w:cs="Arial"/>
          <w:b w:val="0"/>
          <w:i w:val="0"/>
          <w:color w:val="202124"/>
          <w:sz w:val="19"/>
        </w:rPr>
        <w:t>本报告比较五家发行人向 Entity List 客户销售的公开披露，另列一项时间对照。资料以英文正式招股书为准；客户身份、产品、收入、名单及 Footnote 信息均按同一文件中的对应关系分析。匿名客户不跨文件合并。</w:t>
      </w:r>
    </w:p>
    <w:p>
      <w:pPr>
        <w:keepNext w:val="0"/>
        <w:spacing w:before="0" w:after="120" w:line="271" w:lineRule="auto"/>
      </w:pPr>
      <w:r>
        <w:rPr>
          <w:rFonts w:ascii="Arial" w:hAnsi="Arial" w:eastAsia="FangSong" w:cs="Arial"/>
          <w:b w:val="0"/>
          <w:i w:val="0"/>
          <w:color w:val="202124"/>
          <w:sz w:val="19"/>
        </w:rPr>
        <w:t>本报告为跨行业披露比较。项目组采用前，应按实际客户、产品、交易地区、合同及资金或数据流向，补齐订单时间、产品分类、制造链和相关法律意见。AP、PHIP 或纯风险提示未计作上述五家销售先例。</w:t>
      </w:r>
    </w:p>
    <w:sectPr w:rsidR="00FC693F" w:rsidRPr="0006063C" w:rsidSect="00034616">
      <w:headerReference w:type="default" r:id="rId9"/>
      <w:footerReference w:type="default" r:id="rId10"/>
      <w:pgSz w:w="11906" w:h="16838"/>
      <w:pgMar w:top="935" w:right="1077" w:bottom="879" w:left="107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FangSong">
    <w:embedRegular r:id="rIdFangSong" w:fontKey="{909FA388-157F-4209-97D5-4F440AD92217}" w:subsetted="fals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FangSong" w:cs="Arial"/>
        <w:b w:val="0"/>
        <w:i w:val="0"/>
        <w:color w:val="777B80"/>
        <w:sz w:val="16"/>
      </w:rPr>
      <w:t xml:space="preserve">公开资料研究  |  2026年9月6日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rPr>
        <w:rFonts w:ascii="Arial" w:hAnsi="Arial" w:eastAsia="FangSong" w:cs="Arial"/>
        <w:b/>
        <w:i w:val="0"/>
        <w:color w:val="777B80"/>
        <w:sz w:val="16"/>
      </w:rPr>
      <w:t>实体清单客户销售  |  香港 IPO 招股书先例研究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Arial" w:hAnsi="Arial" w:eastAsia="FangSo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FangSong"/>
      <w:b/>
      <w:bCs/>
      <w:color w:val="20212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FangSong"/>
      <w:b/>
      <w:bCs/>
      <w:color w:val="2021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FangSong"/>
      <w:b/>
      <w:bCs/>
      <w:color w:val="2021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FangSong"/>
      <w:color w:val="20212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1.hkexnews.hk/listedco/listconews/sehk/2026/0114/2026011400011.pdf#page=273" TargetMode="External"/><Relationship Id="rId12" Type="http://schemas.openxmlformats.org/officeDocument/2006/relationships/hyperlink" Target="https://www1.hkexnews.hk/listedco/listconews/sehk/2025/1127/2025112700013.pdf#page=331" TargetMode="External"/><Relationship Id="rId13" Type="http://schemas.openxmlformats.org/officeDocument/2006/relationships/hyperlink" Target="https://www1.hkexnews.hk/listedco/listconews/sehk/2024/1231/2024123100154.pdf#page=360" TargetMode="External"/><Relationship Id="rId14" Type="http://schemas.openxmlformats.org/officeDocument/2006/relationships/hyperlink" Target="https://www1.hkexnews.hk/listedco/listconews/sehk/2026/0630/2026063000033.pdf#page=186" TargetMode="External"/><Relationship Id="rId15" Type="http://schemas.openxmlformats.org/officeDocument/2006/relationships/hyperlink" Target="https://www1.hkexnews.hk/listedco/listconews/sehk/2026/0609/2026060900029.pdf#page=185" TargetMode="External"/><Relationship Id="rId16" Type="http://schemas.openxmlformats.org/officeDocument/2006/relationships/hyperlink" Target="https://www1.hkexnews.hk/listedco/listconews/sehk/2026/0130/2026013000009.pdf#page=135" TargetMode="External"/><Relationship Id="rId17" Type="http://schemas.openxmlformats.org/officeDocument/2006/relationships/hyperlink" Target="https://www1.hkexnews.hk/listedco/listconews/sehk/2026/0114/2026011400011.pdf" TargetMode="External"/><Relationship Id="rId18" Type="http://schemas.openxmlformats.org/officeDocument/2006/relationships/hyperlink" Target="https://www1.hkexnews.hk/listedco/listconews/sehk/2025/1127/2025112700013.pdf" TargetMode="External"/><Relationship Id="rId19" Type="http://schemas.openxmlformats.org/officeDocument/2006/relationships/hyperlink" Target="https://www1.hkexnews.hk/listedco/listconews/sehk/2024/1231/2024123100154.pdf" TargetMode="External"/><Relationship Id="rId20" Type="http://schemas.openxmlformats.org/officeDocument/2006/relationships/hyperlink" Target="https://www1.hkexnews.hk/listedco/listconews/sehk/2026/0630/2026063000033.pdf" TargetMode="External"/><Relationship Id="rId21" Type="http://schemas.openxmlformats.org/officeDocument/2006/relationships/hyperlink" Target="https://www1.hkexnews.hk/listedco/listconews/sehk/2026/0609/2026060900029.pdf" TargetMode="External"/><Relationship Id="rId22" Type="http://schemas.openxmlformats.org/officeDocument/2006/relationships/hyperlink" Target="https://www1.hkexnews.hk/listedco/listconews/sehk/2026/0130/2026013000009.pdf" TargetMode="External"/></Relationships>
</file>

<file path=word/_rels/fontTable.xml.rels><?xml version='1.0' encoding='UTF-8' standalone='yes'?>
<Relationships xmlns="http://schemas.openxmlformats.org/package/2006/relationships"><Relationship Id="rIdFangSong" Type="http://schemas.openxmlformats.org/officeDocument/2006/relationships/font" Target="fonts/FangSong.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向实体清单列名客户销售 香港IPO招股书先例研究</dc:title>
  <dc:subject>演示期间实时生成 2026年9月6日</dc:subject>
  <dc:creator/>
  <cp:keywords>Entity List; EAR; HKEX</cp:keywords>
  <dc:description/>
  <cp:lastModifiedBy/>
  <cp:revision>1</cp:revision>
  <dcterms:created xsi:type="dcterms:W3CDTF">2013-12-23T23:15:00Z</dcterms:created>
  <dcterms:modified xsi:type="dcterms:W3CDTF">2013-12-23T23:15:00Z</dcterms:modified>
  <cp:category/>
</cp:coreProperties>
</file>