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iapositives"/>
    <w:p>
      <w:pPr>
        <w:pStyle w:val="Heading1"/>
      </w:pPr>
      <w:r>
        <w:t xml:space="preserve">DIAPOSITIVES</w:t>
      </w:r>
    </w:p>
    <w:bookmarkStart w:id="20" w:name="diapositive-1-lattaque-evil-twin"/>
    <w:p>
      <w:pPr>
        <w:pStyle w:val="Heading2"/>
      </w:pPr>
      <w:r>
        <w:t xml:space="preserve">Diapositive 1 — L’attaque Evil Twin</w:t>
      </w:r>
    </w:p>
    <w:p>
      <w:pPr>
        <w:pStyle w:val="FirstParagraph"/>
      </w:pPr>
      <w:r>
        <w:t xml:space="preserve">Sous-titre :</w:t>
      </w:r>
      <w:r>
        <w:t xml:space="preserve"> </w:t>
      </w:r>
      <w:r>
        <w:t xml:space="preserve">Usurpation de point d’accès Wi-Fi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01"/>
        </w:numPr>
      </w:pPr>
      <w:r>
        <w:t xml:space="preserve">Réseaux Wi-Fi publics</w:t>
      </w:r>
    </w:p>
    <w:p>
      <w:pPr>
        <w:pStyle w:val="Compact"/>
        <w:numPr>
          <w:ilvl w:val="0"/>
          <w:numId w:val="1001"/>
        </w:numPr>
      </w:pPr>
      <w:r>
        <w:t xml:space="preserve">Hôtels, cafés, gares, aéroports</w:t>
      </w:r>
    </w:p>
    <w:p>
      <w:pPr>
        <w:pStyle w:val="Compact"/>
        <w:numPr>
          <w:ilvl w:val="0"/>
          <w:numId w:val="1001"/>
        </w:numPr>
      </w:pPr>
      <w:r>
        <w:t xml:space="preserve">Risques pour les utilisateurs</w:t>
      </w:r>
    </w:p>
    <w:p>
      <w:r>
        <w:pict>
          <v:rect style="width:0;height:1.5pt" o:hralign="center" o:hrstd="t" o:hr="t"/>
        </w:pict>
      </w:r>
    </w:p>
    <w:bookmarkEnd w:id="20"/>
    <w:bookmarkStart w:id="21" w:name="diapositive-2-quest-ce-quun-evil-twin"/>
    <w:p>
      <w:pPr>
        <w:pStyle w:val="Heading2"/>
      </w:pPr>
      <w:r>
        <w:t xml:space="preserve">Diapositive 2 — Qu’est-ce qu’un Evil Twin ?</w:t>
      </w:r>
    </w:p>
    <w:p>
      <w:pPr>
        <w:pStyle w:val="FirstParagraph"/>
      </w:pPr>
      <w:r>
        <w:t xml:space="preserve">Définition :</w:t>
      </w:r>
    </w:p>
    <w:p>
      <w:pPr>
        <w:pStyle w:val="BodyText"/>
      </w:pPr>
      <w:r>
        <w:t xml:space="preserve">Un Evil Twin est un point d’accès Wi-Fi frauduleux qui imite un réseau légitime afin d’attirer les utilisateurs.</w:t>
      </w:r>
    </w:p>
    <w:p>
      <w:pPr>
        <w:pStyle w:val="BodyText"/>
      </w:pPr>
      <w:r>
        <w:t xml:space="preserve">Caractéristiques :</w:t>
      </w:r>
    </w:p>
    <w:p>
      <w:pPr>
        <w:pStyle w:val="Compact"/>
        <w:numPr>
          <w:ilvl w:val="0"/>
          <w:numId w:val="1002"/>
        </w:numPr>
      </w:pPr>
      <w:r>
        <w:t xml:space="preserve">Même SSID (nom du réseau)</w:t>
      </w:r>
    </w:p>
    <w:p>
      <w:pPr>
        <w:pStyle w:val="Compact"/>
        <w:numPr>
          <w:ilvl w:val="0"/>
          <w:numId w:val="1002"/>
        </w:numPr>
      </w:pPr>
      <w:r>
        <w:t xml:space="preserve">Apparence similaire</w:t>
      </w:r>
    </w:p>
    <w:p>
      <w:pPr>
        <w:pStyle w:val="Compact"/>
        <w:numPr>
          <w:ilvl w:val="0"/>
          <w:numId w:val="1002"/>
        </w:numPr>
      </w:pPr>
      <w:r>
        <w:t xml:space="preserve">Semble légitime</w:t>
      </w:r>
    </w:p>
    <w:p>
      <w:pPr>
        <w:pStyle w:val="FirstParagraph"/>
      </w:pPr>
      <w:r>
        <w:t xml:space="preserve">Termes techniques :</w:t>
      </w:r>
    </w:p>
    <w:p>
      <w:pPr>
        <w:pStyle w:val="Compact"/>
        <w:numPr>
          <w:ilvl w:val="0"/>
          <w:numId w:val="1003"/>
        </w:numPr>
      </w:pPr>
      <w:r>
        <w:t xml:space="preserve">Rogue Access Point</w:t>
      </w:r>
    </w:p>
    <w:p>
      <w:pPr>
        <w:pStyle w:val="Compact"/>
        <w:numPr>
          <w:ilvl w:val="0"/>
          <w:numId w:val="1003"/>
        </w:numPr>
      </w:pPr>
      <w:r>
        <w:t xml:space="preserve">Evil Twin</w:t>
      </w:r>
    </w:p>
    <w:p>
      <w:r>
        <w:pict>
          <v:rect style="width:0;height:1.5pt" o:hralign="center" o:hrstd="t" o:hr="t"/>
        </w:pict>
      </w:r>
    </w:p>
    <w:bookmarkEnd w:id="21"/>
    <w:bookmarkStart w:id="22" w:name="diapositive-3-principe-de-lattaque"/>
    <w:p>
      <w:pPr>
        <w:pStyle w:val="Heading2"/>
      </w:pPr>
      <w:r>
        <w:t xml:space="preserve">Diapositive 3 — Principe de l’attaque</w:t>
      </w:r>
    </w:p>
    <w:p>
      <w:pPr>
        <w:pStyle w:val="Compact"/>
        <w:numPr>
          <w:ilvl w:val="0"/>
          <w:numId w:val="1004"/>
        </w:numPr>
      </w:pPr>
      <w:r>
        <w:t xml:space="preserve">Création du faux point d’accès</w:t>
      </w:r>
    </w:p>
    <w:p>
      <w:pPr>
        <w:pStyle w:val="Compact"/>
        <w:numPr>
          <w:ilvl w:val="0"/>
          <w:numId w:val="1004"/>
        </w:numPr>
      </w:pPr>
      <w:r>
        <w:t xml:space="preserve">Connexion de la victime</w:t>
      </w:r>
    </w:p>
    <w:p>
      <w:pPr>
        <w:pStyle w:val="Compact"/>
        <w:numPr>
          <w:ilvl w:val="0"/>
          <w:numId w:val="1004"/>
        </w:numPr>
      </w:pPr>
      <w:r>
        <w:t xml:space="preserve">Transit du trafic par l’attaquant</w:t>
      </w:r>
    </w:p>
    <w:p>
      <w:pPr>
        <w:pStyle w:val="Compact"/>
        <w:numPr>
          <w:ilvl w:val="0"/>
          <w:numId w:val="1004"/>
        </w:numPr>
      </w:pPr>
      <w:r>
        <w:t xml:space="preserve">Accès à certaines informations</w:t>
      </w:r>
    </w:p>
    <w:p>
      <w:pPr>
        <w:pStyle w:val="FirstParagraph"/>
      </w:pPr>
      <w:r>
        <w:t xml:space="preserve">Termes techniques :</w:t>
      </w:r>
    </w:p>
    <w:p>
      <w:pPr>
        <w:pStyle w:val="Compact"/>
        <w:numPr>
          <w:ilvl w:val="0"/>
          <w:numId w:val="1005"/>
        </w:numPr>
      </w:pPr>
      <w:r>
        <w:t xml:space="preserve">Man-in-the-Middle (MITM)</w:t>
      </w:r>
    </w:p>
    <w:p>
      <w:pPr>
        <w:pStyle w:val="Compact"/>
        <w:numPr>
          <w:ilvl w:val="0"/>
          <w:numId w:val="1005"/>
        </w:numPr>
      </w:pPr>
      <w:r>
        <w:t xml:space="preserve">Captive Portal</w:t>
      </w:r>
    </w:p>
    <w:p>
      <w:r>
        <w:pict>
          <v:rect style="width:0;height:1.5pt" o:hralign="center" o:hrstd="t" o:hr="t"/>
        </w:pict>
      </w:r>
    </w:p>
    <w:bookmarkEnd w:id="22"/>
    <w:bookmarkStart w:id="23" w:name="diapositive-4-pourquoi-ça-fonctionne"/>
    <w:p>
      <w:pPr>
        <w:pStyle w:val="Heading2"/>
      </w:pPr>
      <w:r>
        <w:t xml:space="preserve">Diapositive 4 — Pourquoi ça fonctionne ?</w:t>
      </w:r>
    </w:p>
    <w:p>
      <w:pPr>
        <w:pStyle w:val="FirstParagraph"/>
      </w:pPr>
      <w:r>
        <w:t xml:space="preserve">Facteurs humains :</w:t>
      </w:r>
    </w:p>
    <w:p>
      <w:pPr>
        <w:pStyle w:val="Compact"/>
        <w:numPr>
          <w:ilvl w:val="0"/>
          <w:numId w:val="1006"/>
        </w:numPr>
      </w:pPr>
      <w:r>
        <w:t xml:space="preserve">Réseau familier</w:t>
      </w:r>
    </w:p>
    <w:p>
      <w:pPr>
        <w:pStyle w:val="Compact"/>
        <w:numPr>
          <w:ilvl w:val="0"/>
          <w:numId w:val="1006"/>
        </w:numPr>
      </w:pPr>
      <w:r>
        <w:t xml:space="preserve">Recherche d’un Wi-Fi gratuit</w:t>
      </w:r>
    </w:p>
    <w:p>
      <w:pPr>
        <w:pStyle w:val="Compact"/>
        <w:numPr>
          <w:ilvl w:val="0"/>
          <w:numId w:val="1006"/>
        </w:numPr>
      </w:pPr>
      <w:r>
        <w:t xml:space="preserve">Manque de vérification</w:t>
      </w:r>
    </w:p>
    <w:p>
      <w:pPr>
        <w:pStyle w:val="FirstParagraph"/>
      </w:pPr>
      <w:r>
        <w:t xml:space="preserve">Facteurs techniques :</w:t>
      </w:r>
    </w:p>
    <w:p>
      <w:pPr>
        <w:pStyle w:val="Compact"/>
        <w:numPr>
          <w:ilvl w:val="0"/>
          <w:numId w:val="1007"/>
        </w:numPr>
      </w:pPr>
      <w:r>
        <w:t xml:space="preserve">SSID identique</w:t>
      </w:r>
    </w:p>
    <w:p>
      <w:pPr>
        <w:pStyle w:val="Compact"/>
        <w:numPr>
          <w:ilvl w:val="0"/>
          <w:numId w:val="1007"/>
        </w:numPr>
      </w:pPr>
      <w:r>
        <w:t xml:space="preserve">Connexion automatique</w:t>
      </w:r>
    </w:p>
    <w:p>
      <w:pPr>
        <w:pStyle w:val="Compact"/>
        <w:numPr>
          <w:ilvl w:val="0"/>
          <w:numId w:val="1007"/>
        </w:numPr>
      </w:pPr>
      <w:r>
        <w:t xml:space="preserve">Signal parfois plus fort que le réseau légitime</w:t>
      </w:r>
    </w:p>
    <w:p>
      <w:r>
        <w:pict>
          <v:rect style="width:0;height:1.5pt" o:hralign="center" o:hrstd="t" o:hr="t"/>
        </w:pict>
      </w:r>
    </w:p>
    <w:bookmarkEnd w:id="23"/>
    <w:bookmarkStart w:id="24" w:name="diapositive-5-conséquences"/>
    <w:p>
      <w:pPr>
        <w:pStyle w:val="Heading2"/>
      </w:pPr>
      <w:r>
        <w:t xml:space="preserve">Diapositive 5 — Conséquences</w:t>
      </w:r>
    </w:p>
    <w:p>
      <w:pPr>
        <w:pStyle w:val="FirstParagraph"/>
      </w:pPr>
      <w:r>
        <w:t xml:space="preserve">Informations pouvant être exposées :</w:t>
      </w:r>
    </w:p>
    <w:p>
      <w:pPr>
        <w:pStyle w:val="Compact"/>
        <w:numPr>
          <w:ilvl w:val="0"/>
          <w:numId w:val="1008"/>
        </w:numPr>
      </w:pPr>
      <w:r>
        <w:t xml:space="preserve">Identifiants</w:t>
      </w:r>
    </w:p>
    <w:p>
      <w:pPr>
        <w:pStyle w:val="Compact"/>
        <w:numPr>
          <w:ilvl w:val="0"/>
          <w:numId w:val="1008"/>
        </w:numPr>
      </w:pPr>
      <w:r>
        <w:t xml:space="preserve">Cookies de session</w:t>
      </w:r>
    </w:p>
    <w:p>
      <w:pPr>
        <w:pStyle w:val="Compact"/>
        <w:numPr>
          <w:ilvl w:val="0"/>
          <w:numId w:val="1008"/>
        </w:numPr>
      </w:pPr>
      <w:r>
        <w:t xml:space="preserve">Métadonnées réseau</w:t>
      </w:r>
    </w:p>
    <w:p>
      <w:pPr>
        <w:pStyle w:val="Compact"/>
        <w:numPr>
          <w:ilvl w:val="0"/>
          <w:numId w:val="1008"/>
        </w:numPr>
      </w:pPr>
      <w:r>
        <w:t xml:space="preserve">Données personnelles</w:t>
      </w:r>
    </w:p>
    <w:p>
      <w:pPr>
        <w:pStyle w:val="Compact"/>
        <w:numPr>
          <w:ilvl w:val="0"/>
          <w:numId w:val="1008"/>
        </w:numPr>
      </w:pPr>
      <w:r>
        <w:t xml:space="preserve">Activité Internet</w:t>
      </w:r>
    </w:p>
    <w:p>
      <w:pPr>
        <w:pStyle w:val="FirstParagraph"/>
      </w:pPr>
      <w:r>
        <w:t xml:space="preserve">Impacts :</w:t>
      </w:r>
    </w:p>
    <w:p>
      <w:pPr>
        <w:pStyle w:val="Compact"/>
        <w:numPr>
          <w:ilvl w:val="0"/>
          <w:numId w:val="1009"/>
        </w:numPr>
      </w:pPr>
      <w:r>
        <w:t xml:space="preserve">Vol de comptes</w:t>
      </w:r>
    </w:p>
    <w:p>
      <w:pPr>
        <w:pStyle w:val="Compact"/>
        <w:numPr>
          <w:ilvl w:val="0"/>
          <w:numId w:val="1009"/>
        </w:numPr>
      </w:pPr>
      <w:r>
        <w:t xml:space="preserve">Usurpation d’identité</w:t>
      </w:r>
    </w:p>
    <w:p>
      <w:pPr>
        <w:pStyle w:val="Compact"/>
        <w:numPr>
          <w:ilvl w:val="0"/>
          <w:numId w:val="1009"/>
        </w:numPr>
      </w:pPr>
      <w:r>
        <w:t xml:space="preserve">Fuite d’informations</w:t>
      </w:r>
    </w:p>
    <w:p>
      <w:r>
        <w:pict>
          <v:rect style="width:0;height:1.5pt" o:hralign="center" o:hrstd="t" o:hr="t"/>
        </w:pict>
      </w:r>
    </w:p>
    <w:bookmarkEnd w:id="24"/>
    <w:bookmarkStart w:id="25" w:name="diapositive-6-démonstration"/>
    <w:p>
      <w:pPr>
        <w:pStyle w:val="Heading2"/>
      </w:pPr>
      <w:r>
        <w:t xml:space="preserve">Diapositive 6 — Démonstration</w:t>
      </w:r>
    </w:p>
    <w:p>
      <w:pPr>
        <w:pStyle w:val="FirstParagraph"/>
      </w:pPr>
      <w:r>
        <w:t xml:space="preserve">Cas pratique :</w:t>
      </w:r>
    </w:p>
    <w:p>
      <w:pPr>
        <w:pStyle w:val="BodyText"/>
      </w:pPr>
      <w:r>
        <w:t xml:space="preserve">Réseau Wi-Fi d’hôtel</w:t>
      </w:r>
    </w:p>
    <w:p>
      <w:pPr>
        <w:pStyle w:val="BodyText"/>
      </w:pPr>
      <w:r>
        <w:t xml:space="preserve">Objectifs :</w:t>
      </w:r>
    </w:p>
    <w:p>
      <w:pPr>
        <w:pStyle w:val="Compact"/>
        <w:numPr>
          <w:ilvl w:val="0"/>
          <w:numId w:val="1010"/>
        </w:numPr>
      </w:pPr>
      <w:r>
        <w:t xml:space="preserve">Identifier le réseau légitime</w:t>
      </w:r>
    </w:p>
    <w:p>
      <w:pPr>
        <w:pStyle w:val="Compact"/>
        <w:numPr>
          <w:ilvl w:val="0"/>
          <w:numId w:val="1010"/>
        </w:numPr>
      </w:pPr>
      <w:r>
        <w:t xml:space="preserve">Observer le faux point d’accès</w:t>
      </w:r>
    </w:p>
    <w:p>
      <w:pPr>
        <w:pStyle w:val="Compact"/>
        <w:numPr>
          <w:ilvl w:val="0"/>
          <w:numId w:val="1010"/>
        </w:numPr>
      </w:pPr>
      <w:r>
        <w:t xml:space="preserve">Comprendre le cheminement du trafic</w:t>
      </w:r>
    </w:p>
    <w:p>
      <w:r>
        <w:pict>
          <v:rect style="width:0;height:1.5pt" o:hralign="center" o:hrstd="t" o:hr="t"/>
        </w:pict>
      </w:r>
    </w:p>
    <w:bookmarkEnd w:id="25"/>
    <w:bookmarkStart w:id="26" w:name="diapositive-7-contre-mesures"/>
    <w:p>
      <w:pPr>
        <w:pStyle w:val="Heading2"/>
      </w:pPr>
      <w:r>
        <w:t xml:space="preserve">Diapositive 7 — Contre-mesures</w:t>
      </w:r>
    </w:p>
    <w:p>
      <w:pPr>
        <w:pStyle w:val="FirstParagraph"/>
      </w:pPr>
      <w:r>
        <w:t xml:space="preserve">Utilisateur :</w:t>
      </w:r>
    </w:p>
    <w:p>
      <w:pPr>
        <w:pStyle w:val="Compact"/>
        <w:numPr>
          <w:ilvl w:val="0"/>
          <w:numId w:val="1011"/>
        </w:numPr>
      </w:pPr>
      <w:r>
        <w:t xml:space="preserve">Vérifier le réseau</w:t>
      </w:r>
    </w:p>
    <w:p>
      <w:pPr>
        <w:pStyle w:val="Compact"/>
        <w:numPr>
          <w:ilvl w:val="0"/>
          <w:numId w:val="1011"/>
        </w:numPr>
      </w:pPr>
      <w:r>
        <w:t xml:space="preserve">HTTPS</w:t>
      </w:r>
    </w:p>
    <w:p>
      <w:pPr>
        <w:pStyle w:val="Compact"/>
        <w:numPr>
          <w:ilvl w:val="0"/>
          <w:numId w:val="1011"/>
        </w:numPr>
      </w:pPr>
      <w:r>
        <w:t xml:space="preserve">VPN</w:t>
      </w:r>
    </w:p>
    <w:p>
      <w:pPr>
        <w:pStyle w:val="Compact"/>
        <w:numPr>
          <w:ilvl w:val="0"/>
          <w:numId w:val="1011"/>
        </w:numPr>
      </w:pPr>
      <w:r>
        <w:t xml:space="preserve">Désactiver la connexion automatique</w:t>
      </w:r>
    </w:p>
    <w:p>
      <w:pPr>
        <w:pStyle w:val="FirstParagraph"/>
      </w:pPr>
      <w:r>
        <w:t xml:space="preserve">Organisation :</w:t>
      </w:r>
    </w:p>
    <w:p>
      <w:pPr>
        <w:pStyle w:val="Compact"/>
        <w:numPr>
          <w:ilvl w:val="0"/>
          <w:numId w:val="1012"/>
        </w:numPr>
      </w:pPr>
      <w:r>
        <w:t xml:space="preserve">WPA3 Enterprise</w:t>
      </w:r>
    </w:p>
    <w:p>
      <w:pPr>
        <w:pStyle w:val="Compact"/>
        <w:numPr>
          <w:ilvl w:val="0"/>
          <w:numId w:val="1012"/>
        </w:numPr>
      </w:pPr>
      <w:r>
        <w:t xml:space="preserve">802.1X</w:t>
      </w:r>
    </w:p>
    <w:p>
      <w:pPr>
        <w:pStyle w:val="Compact"/>
        <w:numPr>
          <w:ilvl w:val="0"/>
          <w:numId w:val="1012"/>
        </w:numPr>
      </w:pPr>
      <w:r>
        <w:t xml:space="preserve">WIDS</w:t>
      </w:r>
    </w:p>
    <w:p>
      <w:pPr>
        <w:pStyle w:val="Compact"/>
        <w:numPr>
          <w:ilvl w:val="0"/>
          <w:numId w:val="1012"/>
        </w:numPr>
      </w:pPr>
      <w:r>
        <w:t xml:space="preserve">WIPS</w:t>
      </w:r>
    </w:p>
    <w:p>
      <w:pPr>
        <w:pStyle w:val="Compact"/>
        <w:numPr>
          <w:ilvl w:val="0"/>
          <w:numId w:val="1012"/>
        </w:numPr>
      </w:pPr>
      <w:r>
        <w:t xml:space="preserve">Surveillance radio</w:t>
      </w:r>
    </w:p>
    <w:p>
      <w:r>
        <w:pict>
          <v:rect style="width:0;height:1.5pt" o:hralign="center" o:hrstd="t" o:hr="t"/>
        </w:pict>
      </w:r>
    </w:p>
    <w:bookmarkEnd w:id="26"/>
    <w:bookmarkStart w:id="27" w:name="diapositive-8-conclusion"/>
    <w:p>
      <w:pPr>
        <w:pStyle w:val="Heading2"/>
      </w:pPr>
      <w:r>
        <w:t xml:space="preserve">Diapositive 8 — Conclusion</w:t>
      </w:r>
    </w:p>
    <w:p>
      <w:pPr>
        <w:pStyle w:val="FirstParagraph"/>
      </w:pPr>
      <w:r>
        <w:t xml:space="preserve">À retenir :</w:t>
      </w:r>
    </w:p>
    <w:p>
      <w:pPr>
        <w:pStyle w:val="Compact"/>
        <w:numPr>
          <w:ilvl w:val="0"/>
          <w:numId w:val="1013"/>
        </w:numPr>
      </w:pPr>
      <w:r>
        <w:t xml:space="preserve">L’Evil Twin imite un réseau légitime</w:t>
      </w:r>
    </w:p>
    <w:p>
      <w:pPr>
        <w:pStyle w:val="Compact"/>
        <w:numPr>
          <w:ilvl w:val="0"/>
          <w:numId w:val="1013"/>
        </w:numPr>
      </w:pPr>
      <w:r>
        <w:t xml:space="preserve">Il exploite principalement la confiance de l’utilisateur</w:t>
      </w:r>
    </w:p>
    <w:p>
      <w:pPr>
        <w:pStyle w:val="Compact"/>
        <w:numPr>
          <w:ilvl w:val="0"/>
          <w:numId w:val="1013"/>
        </w:numPr>
      </w:pPr>
      <w:r>
        <w:t xml:space="preserve">Il facilite certaines attaques de type MITM</w:t>
      </w:r>
    </w:p>
    <w:p>
      <w:pPr>
        <w:pStyle w:val="Compact"/>
        <w:numPr>
          <w:ilvl w:val="0"/>
          <w:numId w:val="1013"/>
        </w:numPr>
      </w:pPr>
      <w:r>
        <w:t xml:space="preserve">La vigilance et la détection proactive réduisent fortement le risque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2026-06-01T17:47:05Z</dcterms:created>
  <dcterms:modified xsi:type="dcterms:W3CDTF">2026-06-01T17:47:05Z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