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-145522</wp:posOffset>
            </wp:positionH>
            <wp:positionV relativeFrom="paragraph">
              <wp:posOffset>-322046</wp:posOffset>
            </wp:positionV>
            <wp:extent cx="469440" cy="620280"/>
            <wp:effectExtent b="0" l="0" r="0" t="0"/>
            <wp:wrapNone/>
            <wp:docPr descr="rosa" id="13" name="image2.jpg"/>
            <a:graphic>
              <a:graphicData uri="http://schemas.openxmlformats.org/drawingml/2006/picture">
                <pic:pic>
                  <pic:nvPicPr>
                    <pic:cNvPr descr="rosa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-387738</wp:posOffset>
            </wp:positionV>
            <wp:extent cx="1663388" cy="591253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Desenvolvimento de Aplicações Orientadas a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- Aula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Realizar uma pesquisa sobre as principais técnicas e abordagens para o gerenciamento de estados com REACT.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Gerenciamento de Estado Local: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useState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ideal para estados simples e componentes isolados. Permite declarar variáveis de estado e funções para atualizá-las dentro de um componente funcional.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useReducer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para lógica de estado mais complexa dentro de um componente, ele oferece uma maneira mais estruturada de atualizar o estado com base em ações.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Passando Props: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compartilhar dados entre componentes pai e filho, as props são a solução padrão. Essa abordagem é simples e eficaz para pequenas aplicações, mas pode se tornar complexa em hierarquias profundas.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Context API: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Compartilha dados entre componentes sem a necessidade de passar props por vários níveis. Cria um contexto global que permite que componentes acessem e atualizem dados de forma centralizada. Ideal para temas, preferências do usuário e dados de autenticação.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Bibliotecas de Gerenciamento de Estado: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centraliza o estado da aplicação em um único store, com atualizações realizadas por actions e reducers. Oferece previsibilidade, rastreabilidade e ferramentas de depuração poderosas, mas pode ser verboso para aplicações simples.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Zustand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uma biblioteca leve e intuitiva com um único store global e uma API minimalista. Facilita a escrita e leitura do código de gerenciamento de estado, com foco em simplicidade e performance.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abordagem baseada em átomos, unidades de estado compartilhadas. Componentes assinam e atualizam átomos de forma granular, melhorando a performance e a modularidade. Integra-se bem com o React, mas ainda está em desenvolvimento.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MobX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baseado na programação reativa, facilita a sincronização do estado com a interface do usuário. Define "observables" que disparam atualizações automáticas nos componentes. Simplifica a reatividade, mas pode ter uma curva de aprendizado inicial.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Ae8fZfSiBVrUnjGc16q8HR1Sw==">CgMxLjA4AHIhMTIzcEtDanpSLUxrWWltTmdCbFpveUdCUEFTUUlKVE8x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