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绿枢智控项目补充说明</w:t>
      </w:r>
    </w:p>
    <w:p>
      <w:pPr>
        <w:jc w:val="center"/>
      </w:pPr>
      <w:r>
        <w:rPr>
          <w:b/>
          <w:sz w:val="32"/>
        </w:rPr>
        <w:t>系统设计与数据库设计</w:t>
      </w:r>
    </w:p>
    <w:p>
      <w:pPr>
        <w:jc w:val="center"/>
      </w:pPr>
      <w:r>
        <w:rPr>
          <w:i/>
          <w:sz w:val="21"/>
        </w:rPr>
        <w:t>结合赛题要求、现有项目实现与详细方案内容整理</w:t>
      </w:r>
    </w:p>
    <w:p/>
    <w:p>
      <w:pPr>
        <w:pStyle w:val="Heading1"/>
      </w:pPr>
      <w:r>
        <w:t>一、系统设计</w:t>
      </w:r>
    </w:p>
    <w:p>
      <w:pPr>
        <w:pStyle w:val="Heading2"/>
      </w:pPr>
      <w:r>
        <w:t>1.1 设计目标</w:t>
      </w:r>
    </w:p>
    <w:p>
      <w:pPr>
        <w:ind w:firstLine="440"/>
      </w:pPr>
      <w:r>
        <w:t>结合赛题对“能耗数据构建 + 查询统计 + 大模型智慧运维 + Web 系统集成”的要求，本项目在系统设计上遵循“统一数据底座、统一服务接口、统一智能入口、统一运维闭环”的总体思路。系统既要支撑按建筑、时间、监测指标等条件的精确查询，又要支撑时段汇总、COP 计算、异常分析、预测预警、知识问答、工单审批与派单执行等能力，并在演示环境下保证较好的响应速度、稳定性和扩展性。</w:t>
      </w:r>
    </w:p>
    <w:p>
      <w:pPr>
        <w:pStyle w:val="Heading2"/>
      </w:pPr>
      <w:r>
        <w:t>1.2 系统总体架构</w:t>
      </w:r>
    </w:p>
    <w:p>
      <w:pPr>
        <w:ind w:firstLine="440"/>
      </w:pPr>
      <w:r>
        <w:t>“绿枢智控”整体采用 B/S 架构与多端协同模式，面向 PC 管理端、移动运维端和移动维修端提供统一服务。表现层由 Vue 3 Web 端和 Uni-app H5 端组成，负责总览看板、查询统计、工单管理、AI 助手交互与现场维修反馈；接口与业务层由 FastAPI 统一承载，向外暴露认证、数据中心、查询统计、工单、派单、上下文事件和 AI 交互等 REST/SSE 接口；智能分析层由 LangGraph、MCP 工具链、RAGFlow 知识检索、异常检测服务、预测服务与审批/派工策略服务组成；数据层以 PostgreSQL 为核心，Redis 负责缓存与消息通道，并在 Redis 不可用时退化到本地缓存。</w:t>
      </w:r>
    </w:p>
    <w:p>
      <w:pPr>
        <w:jc w:val="center"/>
      </w:pPr>
      <w:r>
        <w:t>表 1-1 系统分层设计说明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组成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主要职责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对应赛题要求</w:t>
            </w:r>
          </w:p>
        </w:tc>
      </w:tr>
      <w:tr>
        <w:tc>
          <w:tcPr>
            <w:tcW w:type="dxa" w:w="2160"/>
            <w:vAlign w:val="center"/>
          </w:tcPr>
          <w:p>
            <w:r>
              <w:t>表现层</w:t>
            </w:r>
          </w:p>
        </w:tc>
        <w:tc>
          <w:tcPr>
            <w:tcW w:type="dxa" w:w="2160"/>
            <w:vAlign w:val="center"/>
          </w:tcPr>
          <w:p>
            <w:r>
              <w:t>Web 管理端、移动运维端、移动维修端</w:t>
            </w:r>
          </w:p>
        </w:tc>
        <w:tc>
          <w:tcPr>
            <w:tcW w:type="dxa" w:w="2160"/>
            <w:vAlign w:val="center"/>
          </w:tcPr>
          <w:p>
            <w:r>
              <w:t>展示查询统计结果，执行审批派单，承接现场维修反馈</w:t>
            </w:r>
          </w:p>
        </w:tc>
        <w:tc>
          <w:tcPr>
            <w:tcW w:type="dxa" w:w="2160"/>
            <w:vAlign w:val="center"/>
          </w:tcPr>
          <w:p>
            <w:r>
              <w:t>系统集成、界面简洁直观</w:t>
            </w:r>
          </w:p>
        </w:tc>
      </w:tr>
      <w:tr>
        <w:tc>
          <w:tcPr>
            <w:tcW w:type="dxa" w:w="2160"/>
            <w:vAlign w:val="center"/>
          </w:tcPr>
          <w:p>
            <w:r>
              <w:t>接口层</w:t>
            </w:r>
          </w:p>
        </w:tc>
        <w:tc>
          <w:tcPr>
            <w:tcW w:type="dxa" w:w="2160"/>
            <w:vAlign w:val="center"/>
          </w:tcPr>
          <w:p>
            <w:r>
              <w:t>FastAPI、JWT、REST API、SSE 流式接口</w:t>
            </w:r>
          </w:p>
        </w:tc>
        <w:tc>
          <w:tcPr>
            <w:tcW w:type="dxa" w:w="2160"/>
            <w:vAlign w:val="center"/>
          </w:tcPr>
          <w:p>
            <w:r>
              <w:t>提供统一接口访问、权限控制和实时交互</w:t>
            </w:r>
          </w:p>
        </w:tc>
        <w:tc>
          <w:tcPr>
            <w:tcW w:type="dxa" w:w="2160"/>
            <w:vAlign w:val="center"/>
          </w:tcPr>
          <w:p>
            <w:r>
              <w:t>查询接口开发、全流程交互</w:t>
            </w:r>
          </w:p>
        </w:tc>
      </w:tr>
      <w:tr>
        <w:tc>
          <w:tcPr>
            <w:tcW w:type="dxa" w:w="2160"/>
            <w:vAlign w:val="center"/>
          </w:tcPr>
          <w:p>
            <w:r>
              <w:t>智能分析层</w:t>
            </w:r>
          </w:p>
        </w:tc>
        <w:tc>
          <w:tcPr>
            <w:tcW w:type="dxa" w:w="2160"/>
            <w:vAlign w:val="center"/>
          </w:tcPr>
          <w:p>
            <w:r>
              <w:t>LangGraph、MCP、RAGFlow、异常检测、预测预警、AI 审批、智能派单</w:t>
            </w:r>
          </w:p>
        </w:tc>
        <w:tc>
          <w:tcPr>
            <w:tcW w:type="dxa" w:w="2160"/>
            <w:vAlign w:val="center"/>
          </w:tcPr>
          <w:p>
            <w:r>
              <w:t>完成自然语言问答、统计分析、风险识别和运维辅助</w:t>
            </w:r>
          </w:p>
        </w:tc>
        <w:tc>
          <w:tcPr>
            <w:tcW w:type="dxa" w:w="2160"/>
            <w:vAlign w:val="center"/>
          </w:tcPr>
          <w:p>
            <w:r>
              <w:t>查询统计模块、智慧运维模块</w:t>
            </w:r>
          </w:p>
        </w:tc>
      </w:tr>
      <w:tr>
        <w:tc>
          <w:tcPr>
            <w:tcW w:type="dxa" w:w="2160"/>
            <w:vAlign w:val="center"/>
          </w:tcPr>
          <w:p>
            <w:r>
              <w:t>数据层</w:t>
            </w:r>
          </w:p>
        </w:tc>
        <w:tc>
          <w:tcPr>
            <w:tcW w:type="dxa" w:w="2160"/>
            <w:vAlign w:val="center"/>
          </w:tcPr>
          <w:p>
            <w:r>
              <w:t>PostgreSQL、物化视图、Redis 缓存、文档知识库</w:t>
            </w:r>
          </w:p>
        </w:tc>
        <w:tc>
          <w:tcPr>
            <w:tcW w:type="dxa" w:w="2160"/>
            <w:vAlign w:val="center"/>
          </w:tcPr>
          <w:p>
            <w:r>
              <w:t>承载标准化能耗数据、业务闭环数据和知识检索数据</w:t>
            </w:r>
          </w:p>
        </w:tc>
        <w:tc>
          <w:tcPr>
            <w:tcW w:type="dxa" w:w="2160"/>
            <w:vAlign w:val="center"/>
          </w:tcPr>
          <w:p>
            <w:r>
              <w:t>数据层建设、数据质量与稳定性</w:t>
            </w:r>
          </w:p>
        </w:tc>
      </w:tr>
    </w:tbl>
    <w:p>
      <w:pPr>
        <w:pStyle w:val="Heading2"/>
      </w:pPr>
      <w:r>
        <w:t>1.3 关键业务链路设计</w:t>
      </w:r>
    </w:p>
    <w:p>
      <w:pPr>
        <w:ind w:firstLine="440"/>
      </w:pPr>
      <w:r>
        <w:t>从业务链路看，系统围绕“数据接入 -&gt; 分析识别 -&gt; 工单处置 -&gt; 经验沉淀”的闭环展开。首先，数据中心模块对上传数据集进行字段映射、清洗和标准化，并写入 energy_data 等核心表；随后，查询统计模块基于原始时序表和日级物化视图提供多条件查询、时段汇总、COP 分析和图表/报表输出；在此基础上，系统通过期望值基线、双阈值规则和 6/12 小时预测能力形成异常检测与预测预警；当风险达到触发条件后，系统进一步结合上下文事件完成 AI 审批，并进入工单、派单、执行和反馈流程；最终，维修过程中的知识、经验和现场反馈继续回流到经验库与知识库，形成持续优化机制。</w:t>
      </w:r>
    </w:p>
    <w:p>
      <w:pPr>
        <w:jc w:val="center"/>
      </w:pPr>
      <w:r>
        <w:t>表 1-2 关键业务闭环设计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主要输入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主要处理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主要输出</w:t>
            </w:r>
          </w:p>
        </w:tc>
      </w:tr>
      <w:tr>
        <w:tc>
          <w:tcPr>
            <w:tcW w:type="dxa" w:w="2160"/>
            <w:vAlign w:val="center"/>
          </w:tcPr>
          <w:p>
            <w:r>
              <w:t>数据接入</w:t>
            </w:r>
          </w:p>
        </w:tc>
        <w:tc>
          <w:tcPr>
            <w:tcW w:type="dxa" w:w="2160"/>
            <w:vAlign w:val="center"/>
          </w:tcPr>
          <w:p>
            <w:r>
              <w:t>CSV / Excel / 结构化样本</w:t>
            </w:r>
          </w:p>
        </w:tc>
        <w:tc>
          <w:tcPr>
            <w:tcW w:type="dxa" w:w="2160"/>
            <w:vAlign w:val="center"/>
          </w:tcPr>
          <w:p>
            <w:r>
              <w:t>字段映射、清洗、校验、批量导入</w:t>
            </w:r>
          </w:p>
        </w:tc>
        <w:tc>
          <w:tcPr>
            <w:tcW w:type="dxa" w:w="2160"/>
            <w:vAlign w:val="center"/>
          </w:tcPr>
          <w:p>
            <w:r>
              <w:t>dataset_files、energy_data</w:t>
            </w:r>
          </w:p>
        </w:tc>
      </w:tr>
      <w:tr>
        <w:tc>
          <w:tcPr>
            <w:tcW w:type="dxa" w:w="2160"/>
            <w:vAlign w:val="center"/>
          </w:tcPr>
          <w:p>
            <w:r>
              <w:t>查询统计</w:t>
            </w:r>
          </w:p>
        </w:tc>
        <w:tc>
          <w:tcPr>
            <w:tcW w:type="dxa" w:w="2160"/>
            <w:vAlign w:val="center"/>
          </w:tcPr>
          <w:p>
            <w:r>
              <w:t>energy_data、daily_energy_summary</w:t>
            </w:r>
          </w:p>
        </w:tc>
        <w:tc>
          <w:tcPr>
            <w:tcW w:type="dxa" w:w="2160"/>
            <w:vAlign w:val="center"/>
          </w:tcPr>
          <w:p>
            <w:r>
              <w:t>精确查询、时段汇总、COP 分析、异常分析</w:t>
            </w:r>
          </w:p>
        </w:tc>
        <w:tc>
          <w:tcPr>
            <w:tcW w:type="dxa" w:w="2160"/>
            <w:vAlign w:val="center"/>
          </w:tcPr>
          <w:p>
            <w:r>
              <w:t>图表、指标卡、统计报表</w:t>
            </w:r>
          </w:p>
        </w:tc>
      </w:tr>
      <w:tr>
        <w:tc>
          <w:tcPr>
            <w:tcW w:type="dxa" w:w="2160"/>
            <w:vAlign w:val="center"/>
          </w:tcPr>
          <w:p>
            <w:r>
              <w:t>风险识别</w:t>
            </w:r>
          </w:p>
        </w:tc>
        <w:tc>
          <w:tcPr>
            <w:tcW w:type="dxa" w:w="2160"/>
            <w:vAlign w:val="center"/>
          </w:tcPr>
          <w:p>
            <w:r>
              <w:t>energy_data、kpi_expected_hourly</w:t>
            </w:r>
          </w:p>
        </w:tc>
        <w:tc>
          <w:tcPr>
            <w:tcW w:type="dxa" w:w="2160"/>
            <w:vAlign w:val="center"/>
          </w:tcPr>
          <w:p>
            <w:r>
              <w:t>基线计算、双阈值检测、多指标预测</w:t>
            </w:r>
          </w:p>
        </w:tc>
        <w:tc>
          <w:tcPr>
            <w:tcW w:type="dxa" w:w="2160"/>
            <w:vAlign w:val="center"/>
          </w:tcPr>
          <w:p>
            <w:r>
              <w:t>anomaly_events、predicted_anomaly_events</w:t>
            </w:r>
          </w:p>
        </w:tc>
      </w:tr>
      <w:tr>
        <w:tc>
          <w:tcPr>
            <w:tcW w:type="dxa" w:w="2160"/>
            <w:vAlign w:val="center"/>
          </w:tcPr>
          <w:p>
            <w:r>
              <w:t>工单审批</w:t>
            </w:r>
          </w:p>
        </w:tc>
        <w:tc>
          <w:tcPr>
            <w:tcW w:type="dxa" w:w="2160"/>
            <w:vAlign w:val="center"/>
          </w:tcPr>
          <w:p>
            <w:r>
              <w:t>异常事件、context_events</w:t>
            </w:r>
          </w:p>
        </w:tc>
        <w:tc>
          <w:tcPr>
            <w:tcW w:type="dxa" w:w="2160"/>
            <w:vAlign w:val="center"/>
          </w:tcPr>
          <w:p>
            <w:r>
              <w:t>AI 解释判断、人工复核、状态审计</w:t>
            </w:r>
          </w:p>
        </w:tc>
        <w:tc>
          <w:tcPr>
            <w:tcW w:type="dxa" w:w="2160"/>
            <w:vAlign w:val="center"/>
          </w:tcPr>
          <w:p>
            <w:r>
              <w:t>work_orders、work_order_audit_log</w:t>
            </w:r>
          </w:p>
        </w:tc>
      </w:tr>
      <w:tr>
        <w:tc>
          <w:tcPr>
            <w:tcW w:type="dxa" w:w="2160"/>
            <w:vAlign w:val="center"/>
          </w:tcPr>
          <w:p>
            <w:r>
              <w:t>派单执行</w:t>
            </w:r>
          </w:p>
        </w:tc>
        <w:tc>
          <w:tcPr>
            <w:tcW w:type="dxa" w:w="2160"/>
            <w:vAlign w:val="center"/>
          </w:tcPr>
          <w:p>
            <w:r>
              <w:t>工单、人员画像、班组信息</w:t>
            </w:r>
          </w:p>
        </w:tc>
        <w:tc>
          <w:tcPr>
            <w:tcW w:type="dxa" w:w="2160"/>
            <w:vAlign w:val="center"/>
          </w:tcPr>
          <w:p>
            <w:r>
              <w:t>推荐派单、共享大厅协同、自动重派、移动反馈</w:t>
            </w:r>
          </w:p>
        </w:tc>
        <w:tc>
          <w:tcPr>
            <w:tcW w:type="dxa" w:w="2160"/>
            <w:vAlign w:val="center"/>
          </w:tcPr>
          <w:p>
            <w:r>
              <w:t>dispatch_tasks、dispatch_hall_entries</w:t>
            </w:r>
          </w:p>
        </w:tc>
      </w:tr>
      <w:tr>
        <w:tc>
          <w:tcPr>
            <w:tcW w:type="dxa" w:w="2160"/>
            <w:vAlign w:val="center"/>
          </w:tcPr>
          <w:p>
            <w:r>
              <w:t>经验回流</w:t>
            </w:r>
          </w:p>
        </w:tc>
        <w:tc>
          <w:tcPr>
            <w:tcW w:type="dxa" w:w="2160"/>
            <w:vAlign w:val="center"/>
          </w:tcPr>
          <w:p>
            <w:r>
              <w:t>维修步骤、处理结论、AI 交互记录</w:t>
            </w:r>
          </w:p>
        </w:tc>
        <w:tc>
          <w:tcPr>
            <w:tcW w:type="dxa" w:w="2160"/>
            <w:vAlign w:val="center"/>
          </w:tcPr>
          <w:p>
            <w:r>
              <w:t>经验整理、知识增强、后续复用</w:t>
            </w:r>
          </w:p>
        </w:tc>
        <w:tc>
          <w:tcPr>
            <w:tcW w:type="dxa" w:w="2160"/>
            <w:vAlign w:val="center"/>
          </w:tcPr>
          <w:p>
            <w:r>
              <w:t>maintenance_experiences、chat_sessions</w:t>
            </w:r>
          </w:p>
        </w:tc>
      </w:tr>
    </w:tbl>
    <w:p>
      <w:pPr>
        <w:pStyle w:val="Heading2"/>
      </w:pPr>
      <w:r>
        <w:t>1.4 交互与多端协同设计</w:t>
      </w:r>
    </w:p>
    <w:p>
      <w:pPr>
        <w:ind w:firstLine="440"/>
      </w:pPr>
      <w:r>
        <w:t>在交互方式上，系统区分了结构化接口与智能流式接口两类入口。对于首页总览、统计图表、列表分页、工单查询等确定性业务，前后端通过 REST API 进行交互；对于“碳小能”“运小维”“维小修”等 AI 助手场景，系统通过 SSE 按 thinking、text、artifact、done 等事件逐步返回结果，使对话过程中的分析文本、图表组件、证据链和下载链接可以渐进式展示。这样的设计既保留了传统业务接口的稳定性，又满足了赛题对自然语言查询和智能运维的交互诉求。</w:t>
      </w:r>
    </w:p>
    <w:p>
      <w:pPr>
        <w:ind w:firstLine="440"/>
      </w:pPr>
      <w:r>
        <w:t>在角色协同上，PC 管理端主要面向管理员与运维经理，负责建筑总览、查询统计、AI 审批、派单调度和运营分析；移动运维端主要面向管理侧，负责只读分析、异常跟踪和工单运营洞察；移动维修端主要面向现场执行人员，负责接单、到场、处理、反馈和维修指导。多端共用同一业务底座，但通过角色权限、接口分组和状态审计实现职责隔离，这有助于保证系统在真实运维场景中的可控性与可追溯性。</w:t>
      </w:r>
    </w:p>
    <w:p>
      <w:pPr>
        <w:pStyle w:val="Heading2"/>
      </w:pPr>
      <w:r>
        <w:t>1.5 系统可靠性与扩展性设计</w:t>
      </w:r>
    </w:p>
    <w:p>
      <w:pPr>
        <w:ind w:firstLine="440"/>
      </w:pPr>
      <w:r>
        <w:t>为了满足赛题对于“响应速度”和“系统稳定性”的要求，系统在实现上增加了几项工程化措施：一是使用 daily_energy_summary 物化视图承接高频日级统计查询，减少对原始时序表的反复聚合；二是使用 Redis cache-aside 模式缓存首页总览、工单列表和通知类高频数据，在 Redis 异常时自动退化到本地 TTL 缓存；三是对模型推理和预测任务采用独立 Worker 或异步服务方式，避免重计算阻塞主业务接口；四是通过 work_order_audit_log、dispatch_events 等审计数据保留关键状态变更链路，保证异常处置过程可追踪、可复盘。以上设计使系统在当前演示规模下具备较好的稳定性，并为后续接入更多楼宇、设备和真实运维数据保留了扩展空间。</w:t>
      </w:r>
    </w:p>
    <w:p>
      <w:pPr>
        <w:pStyle w:val="Heading1"/>
      </w:pPr>
      <w:r>
        <w:t>二、数据库设计</w:t>
      </w:r>
    </w:p>
    <w:p>
      <w:pPr>
        <w:pStyle w:val="Heading2"/>
      </w:pPr>
      <w:r>
        <w:t>2.1 数据库总体设计</w:t>
      </w:r>
    </w:p>
    <w:p>
      <w:pPr>
        <w:ind w:firstLine="440"/>
      </w:pPr>
      <w:r>
        <w:t>结合本项目当前实现，数据库采用 PostgreSQL 作为核心业务数据库，Redis 作为缓存和实时通知通道，RAGFlow 负责文档知识的索引与检索。之所以采用这一组合，是因为本项目既需要承载建筑能耗时序数据，又需要承载工单、派单、上下文事件、AI 会话、经验沉淀和审计日志等强业务关系数据；以 PostgreSQL 统一管理结构化主数据和业务闭环数据，可以降低系统集成复杂度，便于保证赛题要求的演示稳定性和后续扩展性。</w:t>
      </w:r>
    </w:p>
    <w:p>
      <w:pPr>
        <w:ind w:firstLine="440"/>
      </w:pPr>
      <w:r>
        <w:t>赛题建议的数据字段包括建筑编号、建筑类型、监测时间、电力能耗、水耗、空调系统能耗、供回水温度、环境温湿度、设备编号与运行状态等内容。当前项目中，这些核心字段主要由 buildings、devices、energy_data、device_telemetry_hourly 和 device_status_latest 等表共同承载；其中 energy_data 作为逐小时能耗事实表，已经可以满足按建筑、时间、指标开展精确查询、统计分析和异常检测的需要。结合项目现有数据底座，当前标准化样本量已远高于赛题建议的“1000 条以上”门槛，能够支撑系统展示、查询分析和预测预警等核心场景。</w:t>
      </w:r>
    </w:p>
    <w:p>
      <w:pPr>
        <w:pStyle w:val="Heading2"/>
      </w:pPr>
      <w:r>
        <w:t>2.2 数据库逻辑分层设计</w:t>
      </w:r>
    </w:p>
    <w:p>
      <w:pPr>
        <w:jc w:val="center"/>
      </w:pPr>
      <w:r>
        <w:t>表 2-1 数据库逻辑分层说明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核心表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2880"/>
            <w:vAlign w:val="center"/>
          </w:tcPr>
          <w:p>
            <w:r>
              <w:t>主数据层</w:t>
            </w:r>
          </w:p>
        </w:tc>
        <w:tc>
          <w:tcPr>
            <w:tcW w:type="dxa" w:w="2880"/>
            <w:vAlign w:val="center"/>
          </w:tcPr>
          <w:p>
            <w:r>
              <w:t>buildings、devices、users、worker_teams、worker_profiles</w:t>
            </w:r>
          </w:p>
        </w:tc>
        <w:tc>
          <w:tcPr>
            <w:tcW w:type="dxa" w:w="2880"/>
            <w:vAlign w:val="center"/>
          </w:tcPr>
          <w:p>
            <w:r>
              <w:t>维护建筑、设备、人员及维修画像的静态实体</w:t>
            </w:r>
          </w:p>
        </w:tc>
      </w:tr>
      <w:tr>
        <w:tc>
          <w:tcPr>
            <w:tcW w:type="dxa" w:w="2880"/>
            <w:vAlign w:val="center"/>
          </w:tcPr>
          <w:p>
            <w:r>
              <w:t>时序事实层</w:t>
            </w:r>
          </w:p>
        </w:tc>
        <w:tc>
          <w:tcPr>
            <w:tcW w:type="dxa" w:w="2880"/>
            <w:vAlign w:val="center"/>
          </w:tcPr>
          <w:p>
            <w:r>
              <w:t>energy_data、daily_energy_summary、device_telemetry_hourly、device_status_latest</w:t>
            </w:r>
          </w:p>
        </w:tc>
        <w:tc>
          <w:tcPr>
            <w:tcW w:type="dxa" w:w="2880"/>
            <w:vAlign w:val="center"/>
          </w:tcPr>
          <w:p>
            <w:r>
              <w:t>存储小时级能耗数据、日级聚合结果和设备运行状态</w:t>
            </w:r>
          </w:p>
        </w:tc>
      </w:tr>
      <w:tr>
        <w:tc>
          <w:tcPr>
            <w:tcW w:type="dxa" w:w="2880"/>
            <w:vAlign w:val="center"/>
          </w:tcPr>
          <w:p>
            <w:r>
              <w:t>分析与预警层</w:t>
            </w:r>
          </w:p>
        </w:tc>
        <w:tc>
          <w:tcPr>
            <w:tcW w:type="dxa" w:w="2880"/>
            <w:vAlign w:val="center"/>
          </w:tcPr>
          <w:p>
            <w:r>
              <w:t>kpi_expected_hourly、kpi_anomaly_flags、anomaly_events、predicted_anomaly_events、anomaly_incidents</w:t>
            </w:r>
          </w:p>
        </w:tc>
        <w:tc>
          <w:tcPr>
            <w:tcW w:type="dxa" w:w="2880"/>
            <w:vAlign w:val="center"/>
          </w:tcPr>
          <w:p>
            <w:r>
              <w:t>支撑期望值基线、异常检测、预测预警和 incident 聚合</w:t>
            </w:r>
          </w:p>
        </w:tc>
      </w:tr>
      <w:tr>
        <w:tc>
          <w:tcPr>
            <w:tcW w:type="dxa" w:w="2880"/>
            <w:vAlign w:val="center"/>
          </w:tcPr>
          <w:p>
            <w:r>
              <w:t>业务闭环层</w:t>
            </w:r>
          </w:p>
        </w:tc>
        <w:tc>
          <w:tcPr>
            <w:tcW w:type="dxa" w:w="2880"/>
            <w:vAlign w:val="center"/>
          </w:tcPr>
          <w:p>
            <w:r>
              <w:t>work_orders、dispatch_tasks、dispatch_hall_entries、dispatch_hall_applications、work_order_audit_log、context_events</w:t>
            </w:r>
          </w:p>
        </w:tc>
        <w:tc>
          <w:tcPr>
            <w:tcW w:type="dxa" w:w="2880"/>
            <w:vAlign w:val="center"/>
          </w:tcPr>
          <w:p>
            <w:r>
              <w:t>承接审批、派单、协同、超时接管和审计追踪</w:t>
            </w:r>
          </w:p>
        </w:tc>
      </w:tr>
      <w:tr>
        <w:tc>
          <w:tcPr>
            <w:tcW w:type="dxa" w:w="2880"/>
            <w:vAlign w:val="center"/>
          </w:tcPr>
          <w:p>
            <w:r>
              <w:t>智能交互与沉淀层</w:t>
            </w:r>
          </w:p>
        </w:tc>
        <w:tc>
          <w:tcPr>
            <w:tcW w:type="dxa" w:w="2880"/>
            <w:vAlign w:val="center"/>
          </w:tcPr>
          <w:p>
            <w:r>
              <w:t>chat_sessions、ai_assistant_sessions、dataset_files、maintenance_experiences</w:t>
            </w:r>
          </w:p>
        </w:tc>
        <w:tc>
          <w:tcPr>
            <w:tcW w:type="dxa" w:w="2880"/>
            <w:vAlign w:val="center"/>
          </w:tcPr>
          <w:p>
            <w:r>
              <w:t>支撑 AI 对话、数据集管理和维修经验持续复用</w:t>
            </w:r>
          </w:p>
        </w:tc>
      </w:tr>
    </w:tbl>
    <w:p>
      <w:pPr>
        <w:pStyle w:val="Heading2"/>
      </w:pPr>
      <w:r>
        <w:t>2.3 核心实体设计</w:t>
      </w:r>
    </w:p>
    <w:p>
      <w:pPr>
        <w:ind w:firstLine="440"/>
      </w:pPr>
      <w:r>
        <w:t>数据库逻辑设计上，本项目围绕“楼宇 -&gt; 设备 -&gt; 能耗记录 -&gt; 异常事件 -&gt; 工单 -&gt; 派单执行 -&gt; 经验沉淀”的主链路构建实体关系，使系统能够从任一异常记录追溯到对应建筑、设备、审批判断、派工过程和最终处理经验，满足赛题对“查询统计 + 智慧运维”一体化的要求。</w:t>
      </w:r>
    </w:p>
    <w:p>
      <w:pPr>
        <w:jc w:val="center"/>
      </w:pPr>
      <w:r>
        <w:t>表 2-2 核心数据表设计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数据表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主键 / 关键字段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主要用途</w:t>
            </w:r>
          </w:p>
        </w:tc>
      </w:tr>
      <w:tr>
        <w:tc>
          <w:tcPr>
            <w:tcW w:type="dxa" w:w="2880"/>
            <w:vAlign w:val="center"/>
          </w:tcPr>
          <w:p>
            <w:r>
              <w:t>buildings</w:t>
            </w:r>
          </w:p>
        </w:tc>
        <w:tc>
          <w:tcPr>
            <w:tcW w:type="dxa" w:w="2880"/>
            <w:vAlign w:val="center"/>
          </w:tcPr>
          <w:p>
            <w:r>
              <w:t>building_id、primary_space_usage、sqm</w:t>
            </w:r>
          </w:p>
        </w:tc>
        <w:tc>
          <w:tcPr>
            <w:tcW w:type="dxa" w:w="2880"/>
            <w:vAlign w:val="center"/>
          </w:tcPr>
          <w:p>
            <w:r>
              <w:t>建筑主数据，支撑按楼宇和建筑类型分析</w:t>
            </w:r>
          </w:p>
        </w:tc>
      </w:tr>
      <w:tr>
        <w:tc>
          <w:tcPr>
            <w:tcW w:type="dxa" w:w="2880"/>
            <w:vAlign w:val="center"/>
          </w:tcPr>
          <w:p>
            <w:r>
              <w:t>devices</w:t>
            </w:r>
          </w:p>
        </w:tc>
        <w:tc>
          <w:tcPr>
            <w:tcW w:type="dxa" w:w="2880"/>
            <w:vAlign w:val="center"/>
          </w:tcPr>
          <w:p>
            <w:r>
              <w:t>device_id、building_id、device_type</w:t>
            </w:r>
          </w:p>
        </w:tc>
        <w:tc>
          <w:tcPr>
            <w:tcW w:type="dxa" w:w="2880"/>
            <w:vAlign w:val="center"/>
          </w:tcPr>
          <w:p>
            <w:r>
              <w:t>设备与传感器台账，连接楼宇与设备状态</w:t>
            </w:r>
          </w:p>
        </w:tc>
      </w:tr>
      <w:tr>
        <w:tc>
          <w:tcPr>
            <w:tcW w:type="dxa" w:w="2880"/>
            <w:vAlign w:val="center"/>
          </w:tcPr>
          <w:p>
            <w:r>
              <w:t>energy_data</w:t>
            </w:r>
          </w:p>
        </w:tc>
        <w:tc>
          <w:tcPr>
            <w:tcW w:type="dxa" w:w="2880"/>
            <w:vAlign w:val="center"/>
          </w:tcPr>
          <w:p>
            <w:r>
              <w:t>(timestamp, building_id)、electricity_kwh、water_m3、hac_energy、sim_supply_temp_c、sim_return_temp_c</w:t>
            </w:r>
          </w:p>
        </w:tc>
        <w:tc>
          <w:tcPr>
            <w:tcW w:type="dxa" w:w="2880"/>
            <w:vAlign w:val="center"/>
          </w:tcPr>
          <w:p>
            <w:r>
              <w:t>核心小时级能耗事实表，支撑查询、COP 计算和异常分析</w:t>
            </w:r>
          </w:p>
        </w:tc>
      </w:tr>
      <w:tr>
        <w:tc>
          <w:tcPr>
            <w:tcW w:type="dxa" w:w="2880"/>
            <w:vAlign w:val="center"/>
          </w:tcPr>
          <w:p>
            <w:r>
              <w:t>daily_energy_summary</w:t>
            </w:r>
          </w:p>
        </w:tc>
        <w:tc>
          <w:tcPr>
            <w:tcW w:type="dxa" w:w="2880"/>
            <w:vAlign w:val="center"/>
          </w:tcPr>
          <w:p>
            <w:r>
              <w:t>(day, building_id)、total_electricity_kwh、total_water_m3、total_hac_energy</w:t>
            </w:r>
          </w:p>
        </w:tc>
        <w:tc>
          <w:tcPr>
            <w:tcW w:type="dxa" w:w="2880"/>
            <w:vAlign w:val="center"/>
          </w:tcPr>
          <w:p>
            <w:r>
              <w:t>日级聚合与高频趋势查询</w:t>
            </w:r>
          </w:p>
        </w:tc>
      </w:tr>
      <w:tr>
        <w:tc>
          <w:tcPr>
            <w:tcW w:type="dxa" w:w="2880"/>
            <w:vAlign w:val="center"/>
          </w:tcPr>
          <w:p>
            <w:r>
              <w:t>kpi_expected_hourly / kpi_anomaly_flags</w:t>
            </w:r>
          </w:p>
        </w:tc>
        <w:tc>
          <w:tcPr>
            <w:tcW w:type="dxa" w:w="2880"/>
            <w:vAlign w:val="center"/>
          </w:tcPr>
          <w:p>
            <w:r>
              <w:t>(building_id, timestamp)、*_expected、flag_*</w:t>
            </w:r>
          </w:p>
        </w:tc>
        <w:tc>
          <w:tcPr>
            <w:tcW w:type="dxa" w:w="2880"/>
            <w:vAlign w:val="center"/>
          </w:tcPr>
          <w:p>
            <w:r>
              <w:t>支撑期望值基线生成和细粒度异常标记</w:t>
            </w:r>
          </w:p>
        </w:tc>
      </w:tr>
      <w:tr>
        <w:tc>
          <w:tcPr>
            <w:tcW w:type="dxa" w:w="2880"/>
            <w:vAlign w:val="center"/>
          </w:tcPr>
          <w:p>
            <w:r>
              <w:t>anomaly_events / predicted_anomaly_events</w:t>
            </w:r>
          </w:p>
        </w:tc>
        <w:tc>
          <w:tcPr>
            <w:tcW w:type="dxa" w:w="2880"/>
            <w:vAlign w:val="center"/>
          </w:tcPr>
          <w:p>
            <w:r>
              <w:t>id、building_id、data_timestamp / forecast_for_timestamp、rule_triggered、risk_level</w:t>
            </w:r>
          </w:p>
        </w:tc>
        <w:tc>
          <w:tcPr>
            <w:tcW w:type="dxa" w:w="2880"/>
            <w:vAlign w:val="center"/>
          </w:tcPr>
          <w:p>
            <w:r>
              <w:t>存储已发生异常和未来风险预警</w:t>
            </w:r>
          </w:p>
        </w:tc>
      </w:tr>
      <w:tr>
        <w:tc>
          <w:tcPr>
            <w:tcW w:type="dxa" w:w="2880"/>
            <w:vAlign w:val="center"/>
          </w:tcPr>
          <w:p>
            <w:r>
              <w:t>work_orders</w:t>
            </w:r>
          </w:p>
        </w:tc>
        <w:tc>
          <w:tcPr>
            <w:tcW w:type="dxa" w:w="2880"/>
            <w:vAlign w:val="center"/>
          </w:tcPr>
          <w:p>
            <w:r>
              <w:t>ticket_id、building_id、issue_description、status、ai_decision、assigned_to</w:t>
            </w:r>
          </w:p>
        </w:tc>
        <w:tc>
          <w:tcPr>
            <w:tcW w:type="dxa" w:w="2880"/>
            <w:vAlign w:val="center"/>
          </w:tcPr>
          <w:p>
            <w:r>
              <w:t>工单主表，承接审批、处理、关闭全生命周期</w:t>
            </w:r>
          </w:p>
        </w:tc>
      </w:tr>
      <w:tr>
        <w:tc>
          <w:tcPr>
            <w:tcW w:type="dxa" w:w="2880"/>
            <w:vAlign w:val="center"/>
          </w:tcPr>
          <w:p>
            <w:r>
              <w:t>dispatch_tasks</w:t>
            </w:r>
          </w:p>
        </w:tc>
        <w:tc>
          <w:tcPr>
            <w:tcW w:type="dxa" w:w="2880"/>
            <w:vAlign w:val="center"/>
          </w:tcPr>
          <w:p>
            <w:r>
              <w:t>work_order_id、assigned_to、dispatch_status、accepted_at、completed_at</w:t>
            </w:r>
          </w:p>
        </w:tc>
        <w:tc>
          <w:tcPr>
            <w:tcW w:type="dxa" w:w="2880"/>
            <w:vAlign w:val="center"/>
          </w:tcPr>
          <w:p>
            <w:r>
              <w:t>记录每一次实际派工尝试与 SLA 状态</w:t>
            </w:r>
          </w:p>
        </w:tc>
      </w:tr>
      <w:tr>
        <w:tc>
          <w:tcPr>
            <w:tcW w:type="dxa" w:w="2880"/>
            <w:vAlign w:val="center"/>
          </w:tcPr>
          <w:p>
            <w:r>
              <w:t>context_events</w:t>
            </w:r>
          </w:p>
        </w:tc>
        <w:tc>
          <w:tcPr>
            <w:tcW w:type="dxa" w:w="2880"/>
            <w:vAlign w:val="center"/>
          </w:tcPr>
          <w:p>
            <w:r>
              <w:t>event_type、building_id、start_time、end_time、grace_period_minutes</w:t>
            </w:r>
          </w:p>
        </w:tc>
        <w:tc>
          <w:tcPr>
            <w:tcW w:type="dxa" w:w="2880"/>
            <w:vAlign w:val="center"/>
          </w:tcPr>
          <w:p>
            <w:r>
              <w:t>存储加班、装修、极端天气等上下文事件，供 AI 审批解释异常</w:t>
            </w:r>
          </w:p>
        </w:tc>
      </w:tr>
      <w:tr>
        <w:tc>
          <w:tcPr>
            <w:tcW w:type="dxa" w:w="2880"/>
            <w:vAlign w:val="center"/>
          </w:tcPr>
          <w:p>
            <w:r>
              <w:t>maintenance_experiences / chat_sessions</w:t>
            </w:r>
          </w:p>
        </w:tc>
        <w:tc>
          <w:tcPr>
            <w:tcW w:type="dxa" w:w="2880"/>
            <w:vAlign w:val="center"/>
          </w:tcPr>
          <w:p>
            <w:r>
              <w:t>source_text、organized_text、messages_json、extra_state_json</w:t>
            </w:r>
          </w:p>
        </w:tc>
        <w:tc>
          <w:tcPr>
            <w:tcW w:type="dxa" w:w="2880"/>
            <w:vAlign w:val="center"/>
          </w:tcPr>
          <w:p>
            <w:r>
              <w:t>沉淀维修经验与 AI 会话上下文，支撑后续知识复用</w:t>
            </w:r>
          </w:p>
        </w:tc>
      </w:tr>
    </w:tbl>
    <w:p>
      <w:pPr>
        <w:pStyle w:val="Heading2"/>
      </w:pPr>
      <w:r>
        <w:t>2.4 数据关系与性能设计</w:t>
      </w:r>
    </w:p>
    <w:p>
      <w:pPr>
        <w:ind w:firstLine="440"/>
      </w:pPr>
      <w:r>
        <w:t>从关系上看，buildings 与 devices、energy_data、anomaly_events、predicted_anomaly_events、work_orders、context_events 均形成 1:N 关系；work_orders 与 dispatch_tasks、work_order_audit_log、dispatch_hall_entries 构成闭环执行链；dispatch_hall_entries 与 dispatch_hall_applications 构成共享协同链；maintenance_experiences 则围绕 work_orders、dispatch_tasks 和用户反馈持续沉淀。这样的关系设计使系统能够从某一条异常记录完整追溯到楼宇、设备、工单、派工记录和最终处理经验，形成清晰的数据血缘。</w:t>
      </w:r>
    </w:p>
    <w:p>
      <w:pPr>
        <w:ind w:firstLine="440"/>
      </w:pPr>
      <w:r>
        <w:t>在性能设计上，系统针对高频查询与业务闭环做了专项优化。对于时序查询，energy_data 采用以 building_id 和 timestamp 为核心的组合索引，便于按楼宇和时间窗口快速筛选；对于日级趋势展示，daily_energy_summary 使用物化视图降低聚合开销；对于异常与预测记录，系统分别建立 building + time 相关索引，便于按楼宇和时间段检索；对于上下文事件、审计日志和共享调度大厅，系统通过时间索引、状态索引和局部索引提升审批与协同处理效率。与此同时，Redis 负责对首页总览、工单列表、通知消息等高频读场景做缓存加速，在 Redis 不可用时使用本地 TTL 缓存兜底，保证演示场景下的连续可用性。</w:t>
      </w:r>
    </w:p>
    <w:p>
      <w:pPr>
        <w:pStyle w:val="Heading2"/>
      </w:pPr>
      <w:r>
        <w:t>2.5 数据闭环说明</w:t>
      </w:r>
    </w:p>
    <w:p>
      <w:pPr>
        <w:ind w:firstLine="440"/>
      </w:pPr>
      <w:r>
        <w:t>数据库设计不是孤立的“存表设计”，而是直接服务于赛题要求的业务闭环。数据集上传后先进入 dataset_files 与 energy_data；日级统计与物理基线进一步产生 daily_energy_summary、kpi_expected_hourly 与 kpi_anomaly_flags；异常识别和预测预警形成 anomaly_events 与 predicted_anomaly_events；审批、派单和现场执行则落到 work_orders、dispatch_tasks、dispatch_hall_entries、work_order_audit_log 等业务表；维修结论与对话内容最终沉淀为 maintenance_experiences 和 chat_sessions。通过这一链路，数据库同时支撑“能耗查询统计”和“智慧运维闭环”两条主线，满足赛题对数据规范化、分析能力和系统集成能力的综合要求。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