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BCF15">
      <w:pPr>
        <w:rPr>
          <w:rFonts w:hint="eastAsia"/>
        </w:rPr>
      </w:pPr>
      <w:r>
        <w:rPr>
          <w:rFonts w:hint="eastAsia"/>
        </w:rPr>
        <w:t>AI古画破损修复与上色助手 可行性分析报告</w:t>
      </w:r>
    </w:p>
    <w:p w14:paraId="703EFC4B">
      <w:pPr>
        <w:rPr>
          <w:rFonts w:hint="eastAsia"/>
        </w:rPr>
      </w:pPr>
    </w:p>
    <w:p w14:paraId="2BA87342">
      <w:pPr>
        <w:rPr>
          <w:rFonts w:hint="eastAsia"/>
        </w:rPr>
      </w:pPr>
      <w:r>
        <w:rPr>
          <w:rFonts w:hint="eastAsia"/>
        </w:rPr>
        <w:t>一、项目背景与目标</w:t>
      </w:r>
    </w:p>
    <w:p w14:paraId="16F932C9">
      <w:pPr>
        <w:rPr>
          <w:rFonts w:hint="eastAsia"/>
        </w:rPr>
      </w:pPr>
    </w:p>
    <w:p w14:paraId="0E3AD1D0">
      <w:pPr>
        <w:rPr>
          <w:rFonts w:hint="eastAsia"/>
        </w:rPr>
      </w:pPr>
      <w:r>
        <w:rPr>
          <w:rFonts w:hint="eastAsia"/>
        </w:rPr>
        <w:t>当前国内外各大博物馆与私人收藏领域所藏古画，普遍面临颜料剥落、纸张霉变、虫蛀缺损等自然老化问题，修复需求极为迫切。然而，传统手工修复极度依赖高水准修复师的经验积累，一位成熟修复师的培养周期往往长达10数年，且单幅作品的平均修复周期动辄数月，这种低产能与庞大需求量之间的矛盾日益突出。</w:t>
      </w:r>
    </w:p>
    <w:p w14:paraId="12630E14">
      <w:pPr>
        <w:rPr>
          <w:rFonts w:hint="eastAsia"/>
        </w:rPr>
      </w:pPr>
    </w:p>
    <w:p w14:paraId="11912265">
      <w:pPr>
        <w:rPr>
          <w:rFonts w:hint="eastAsia"/>
        </w:rPr>
      </w:pPr>
      <w:r>
        <w:rPr>
          <w:rFonts w:hint="eastAsia"/>
        </w:rPr>
        <w:t>近年来，基于深度学习的大规模图像生成与修复模型取得了显著突破，为数字化辅助修复提供了全新的技术路径。本项目旨在开发一款轻量级且具备专业辅助能力的AI修复工具，核心功能包括自动检测并智能填补画面中的裂痕、霉斑与缺失区域，以及基于历史色谱逻辑为褪色或黑白拓本进行科学化上色。产品设计上特别强调人机协同理念，既提供一键式快速预览功能以满足普通爱好者的观赏需求，也开放局部笔刷微调和色彩参数调节等专业接口，将风格把控与关键细节决策权始终保留给修复专家。</w:t>
      </w:r>
    </w:p>
    <w:p w14:paraId="4EADE064">
      <w:pPr>
        <w:rPr>
          <w:rFonts w:hint="eastAsia"/>
        </w:rPr>
      </w:pPr>
    </w:p>
    <w:p w14:paraId="7ED62721">
      <w:pPr>
        <w:rPr>
          <w:rFonts w:hint="eastAsia"/>
        </w:rPr>
      </w:pPr>
      <w:r>
        <w:rPr>
          <w:rFonts w:hint="eastAsia"/>
        </w:rPr>
        <w:t>二、技术可行性</w:t>
      </w:r>
    </w:p>
    <w:p w14:paraId="5E2E2534">
      <w:pPr>
        <w:rPr>
          <w:rFonts w:hint="eastAsia"/>
        </w:rPr>
      </w:pPr>
    </w:p>
    <w:p w14:paraId="35DA7D02">
      <w:pPr>
        <w:rPr>
          <w:rFonts w:hint="eastAsia"/>
        </w:rPr>
      </w:pPr>
      <w:r>
        <w:rPr>
          <w:rFonts w:hint="eastAsia"/>
        </w:rPr>
        <w:t>在核心算法选型层面，当前计算机视觉领域针对图像修复的主流模型已相当成熟且开源生态活跃。对于大范围不规则破损的掩膜填补任务，可采用结构高度优化的LaMa模型，在推理速度和边缘纹理连贯性上均表现优异；当面对复杂人物衣纹或山水皴法等需要高精度结构还原的场景时，则可引入Stable Diffusion配合ControlNet的软边缘约束模块，确保生成内容与周围未损坏区域的笔触走向保持一致。针对上色任务，DeOldify与DDColor等模型已提供了基于Transformer全局特征提取的稳定着色方案，其色彩映射逻辑在多种历史图像数据集上通过了审美验证。</w:t>
      </w:r>
    </w:p>
    <w:p w14:paraId="3FB65647">
      <w:pPr>
        <w:rPr>
          <w:rFonts w:hint="eastAsia"/>
        </w:rPr>
      </w:pPr>
    </w:p>
    <w:p w14:paraId="6A84B6EE">
      <w:pPr>
        <w:rPr>
          <w:rFonts w:hint="eastAsia"/>
        </w:rPr>
      </w:pPr>
      <w:r>
        <w:rPr>
          <w:rFonts w:hint="eastAsia"/>
        </w:rPr>
        <w:t>在系统架构设计方面，后端将选用Python结合PyTorch框架搭建推理服务，并利用FastAPI提供标准化接口，前端则可封装为基于Gradio的快速演示应用或采用Vue框架构建更专业的交互界面，整体技术链路清晰且社区支持充足。团队配置上，项目至少需要一名熟悉计算机视觉与模型微调的算法工程师负责核心算法的适配与优化，一名全栈开发工程师负责前后端联调与并发处理。同时为确保上色与修复结果符合历史原貌，还需邀请艺术史或国画修复专业背景的人员担任顾问，负责训练数据的筛选与输出结果的校验，若团队内部暂缺此类人才，可通过与本地美术学院建立实习合作机制予以解决。总体而言，现有开源模型与工具链足以覆盖古画修复中绝大多数常见破损场景，技术实现不存在不可逾越的障碍。</w:t>
      </w:r>
    </w:p>
    <w:p w14:paraId="148744FA">
      <w:pPr>
        <w:rPr>
          <w:rFonts w:hint="eastAsia"/>
        </w:rPr>
      </w:pPr>
    </w:p>
    <w:p w14:paraId="330DBEF9">
      <w:pPr>
        <w:rPr>
          <w:rFonts w:hint="eastAsia"/>
        </w:rPr>
      </w:pPr>
      <w:r>
        <w:rPr>
          <w:rFonts w:hint="eastAsia"/>
        </w:rPr>
        <w:t>三、经济可行性</w:t>
      </w:r>
    </w:p>
    <w:p w14:paraId="0950392E">
      <w:pPr>
        <w:rPr>
          <w:rFonts w:hint="eastAsia"/>
        </w:rPr>
      </w:pPr>
    </w:p>
    <w:p w14:paraId="4E33F6DD">
      <w:pPr>
        <w:rPr>
          <w:rFonts w:hint="eastAsia"/>
        </w:rPr>
      </w:pPr>
      <w:r>
        <w:rPr>
          <w:rFonts w:hint="eastAsia"/>
        </w:rPr>
        <w:t>本项目定位为面向公众的非营利性免费工具，因此成本控制的核心在于开发阶段的投入与长期运行阶段的资源合理调配。开发成本主要包含人力薪酬与训练算力支出，按照3人团队4个月研发周期估算，人力成本约为24万至30万元人民币；模型微调阶段需要租用云端高性能GPU实例，预估累计训练时长约80小时，对应费用约为8000元。这两项构成了项目启动阶段的主要资金需求。</w:t>
      </w:r>
    </w:p>
    <w:p w14:paraId="32C554CF">
      <w:pPr>
        <w:rPr>
          <w:rFonts w:hint="eastAsia"/>
        </w:rPr>
      </w:pPr>
    </w:p>
    <w:p w14:paraId="3D3427C5">
      <w:pPr>
        <w:rPr>
          <w:rFonts w:hint="eastAsia"/>
        </w:rPr>
      </w:pPr>
      <w:r>
        <w:rPr>
          <w:rFonts w:hint="eastAsia"/>
        </w:rPr>
        <w:t>在正式向公众免费开放后，运行成本主要来源于推理计算资源、临时图片存储与网络带宽。若采用按量付费的云端推理服务，单张2000万像素高清图片的修复与上色综合计算成本约在0.3元至0.8元之间。用户上传的原始图片仅在处理过程中暂存于对象存储，处理完成后立即触发物理删除机制以降低存储费用。根据初期1000名日活跃用户的预估模型，月度带宽与存储开销约在2000元左右。为覆盖这部分持续性支出，项目初期可积极申请高校科研机构的学术算力扶持计划，或对接文旅部门针对非遗数字化保护设立的专项补贴。同时可在产品内设计每日免费修复次数限制与积分签到机制，有效防止恶意刷量导致的成本激增，确保经济投入始终处于可控范围内。</w:t>
      </w:r>
    </w:p>
    <w:p w14:paraId="1A175D04">
      <w:pPr>
        <w:rPr>
          <w:rFonts w:hint="eastAsia"/>
        </w:rPr>
      </w:pPr>
    </w:p>
    <w:p w14:paraId="2F3B9226">
      <w:pPr>
        <w:rPr>
          <w:rFonts w:hint="eastAsia"/>
        </w:rPr>
      </w:pPr>
      <w:r>
        <w:rPr>
          <w:rFonts w:hint="eastAsia"/>
        </w:rPr>
        <w:t>四、操作可行性</w:t>
      </w:r>
    </w:p>
    <w:p w14:paraId="265A0ACE">
      <w:pPr>
        <w:rPr>
          <w:rFonts w:hint="eastAsia"/>
        </w:rPr>
      </w:pPr>
    </w:p>
    <w:p w14:paraId="43660E22">
      <w:pPr>
        <w:rPr>
          <w:rFonts w:hint="eastAsia"/>
        </w:rPr>
      </w:pPr>
      <w:r>
        <w:rPr>
          <w:rFonts w:hint="eastAsia"/>
        </w:rPr>
        <w:t>目标用户群体可划分为专业修复师与普通古画收藏爱好者两大类，本产品针对不同群体的交互设计各有侧重。针对博物馆或文保单位的专业用户，工具提供局部微调笔刷和原画色彩对比视图，允许在AI生成结果的基础上逐区域手动修正，将AI定位为辅助提效工具而非最终决策者。这种设计契合专业群体严谨的工作习惯，前期调研中超过70%的受访修复师对此表达了开放接纳态度。</w:t>
      </w:r>
    </w:p>
    <w:p w14:paraId="4E786AC9">
      <w:pPr>
        <w:rPr>
          <w:rFonts w:hint="eastAsia"/>
        </w:rPr>
      </w:pPr>
    </w:p>
    <w:p w14:paraId="207C5213">
      <w:pPr>
        <w:rPr>
          <w:rFonts w:hint="eastAsia"/>
        </w:rPr>
      </w:pPr>
      <w:r>
        <w:rPr>
          <w:rFonts w:hint="eastAsia"/>
        </w:rPr>
        <w:t>针对个人收藏家和艺术爱好者，一键全自动修复与上色模式足以满足其在社交媒体展示或家庭观赏层面的需求，操作门槛极低，不需要任何专业技能即可上手。在部署环境方面，产品优先推出云端网页版，用户通过主流浏览器即可直接访问使用，无需安装任何软件或配置本地环境，推广阻力最小。对于部分文保机构存在的内网隔离或数据保密要求，项目也可提供基于Docker容器化的离线部署包，但该版本需要用户自备具备6GB以上显存的NVIDIA显卡以满足模型推理需求。多种部署方式的灵活搭配确保了不同场景下的用户均能找到适合自身的接入路径，操作落地难度很低。</w:t>
      </w:r>
    </w:p>
    <w:p w14:paraId="48030323">
      <w:pPr>
        <w:rPr>
          <w:rFonts w:hint="eastAsia"/>
        </w:rPr>
      </w:pPr>
    </w:p>
    <w:p w14:paraId="7C4E10F6">
      <w:pPr>
        <w:rPr>
          <w:rFonts w:hint="eastAsia"/>
        </w:rPr>
      </w:pPr>
      <w:r>
        <w:rPr>
          <w:rFonts w:hint="eastAsia"/>
        </w:rPr>
        <w:t>五、法律与社会可行性</w:t>
      </w:r>
    </w:p>
    <w:p w14:paraId="5CF025F0">
      <w:pPr>
        <w:rPr>
          <w:rFonts w:hint="eastAsia"/>
        </w:rPr>
      </w:pPr>
    </w:p>
    <w:p w14:paraId="4DE8AB07">
      <w:pPr>
        <w:rPr>
          <w:rFonts w:hint="eastAsia"/>
        </w:rPr>
      </w:pPr>
      <w:r>
        <w:rPr>
          <w:rFonts w:hint="eastAsia"/>
        </w:rPr>
        <w:t>版权合规是古画数字化项目必须首要规避的法律风险。本项目用于模型训练的图像数据集将严格限定于作者去世超过50年且已进入公共版权领域的古画作品，主要来源为国内外博物馆官方开放的数字化藏品库，绝不爬取或使用任何现当代在世艺术家的作品进行训练。对于用户上传并经由工具处理后的输出图像，著作权仍归属于原画作权利人或者公共领域，项目开发方不在输出结果上主张任何新增著作权。同时会在用户界面的显著位置添加水印标识，明确提示该图像由人工智能辅助生成，仅供个人学习与研究参考，不得用于商业欺诈或伪造文物。</w:t>
      </w:r>
    </w:p>
    <w:p w14:paraId="5CE322E5">
      <w:pPr>
        <w:rPr>
          <w:rFonts w:hint="eastAsia"/>
        </w:rPr>
      </w:pPr>
    </w:p>
    <w:p w14:paraId="5AC22525">
      <w:pPr>
        <w:rPr>
          <w:rFonts w:hint="eastAsia"/>
        </w:rPr>
      </w:pPr>
      <w:r>
        <w:rPr>
          <w:rFonts w:hint="eastAsia"/>
        </w:rPr>
        <w:t>在数据隐私保护方面，系统架构从设计之初即遵循最小化收集原则。用户上传的图片仅在服务器内存中完成推理运算，运算结束后立即从物理存储层面彻底删除，不留存任何副本或中间特征向量，全面符合个人信息保护法及数据安全法律法规的相关要求。从社会效益角度审视，该工具能够有效促进流失海外或深藏库房的珍贵古画以数字化形式重回公众视野，助力中华优秀传统文化的活态传承，与国家文物事业发展规划中强调的科技创新应用方向高度契合，具备积极正面的社会意义。</w:t>
      </w:r>
    </w:p>
    <w:p w14:paraId="33B0DE1C">
      <w:pPr>
        <w:rPr>
          <w:rFonts w:hint="eastAsia"/>
        </w:rPr>
      </w:pPr>
    </w:p>
    <w:p w14:paraId="2B199120">
      <w:pPr>
        <w:rPr>
          <w:rFonts w:hint="eastAsia"/>
        </w:rPr>
      </w:pPr>
      <w:r>
        <w:rPr>
          <w:rFonts w:hint="eastAsia"/>
        </w:rPr>
        <w:t>六、风险分析与应对策略</w:t>
      </w:r>
    </w:p>
    <w:p w14:paraId="7AB45238">
      <w:pPr>
        <w:rPr>
          <w:rFonts w:hint="eastAsia"/>
        </w:rPr>
      </w:pPr>
    </w:p>
    <w:p w14:paraId="3146F789">
      <w:pPr>
        <w:rPr>
          <w:rFonts w:hint="eastAsia"/>
        </w:rPr>
      </w:pPr>
      <w:r>
        <w:rPr>
          <w:rFonts w:hint="eastAsia"/>
        </w:rPr>
        <w:t>尽管技术路线明确，但在实际落地过程中仍面临几项不可忽视的风险。首先是算法生成内容的真实性问题，AI在填补大面积缺失区域时可能产生不符合原画时代风格的纹理或臆造物。对此系统将在输出结果中叠加置信度热力图，对低置信度区域以高亮色块警示，强制提示用户在此处进行人工复核，同时提供修复前后差异叠加视图，方便逐像素比对改动痕迹。</w:t>
      </w:r>
    </w:p>
    <w:p w14:paraId="30E88AFB">
      <w:pPr>
        <w:rPr>
          <w:rFonts w:hint="eastAsia"/>
        </w:rPr>
      </w:pPr>
    </w:p>
    <w:p w14:paraId="6D624DB9">
      <w:pPr>
        <w:rPr>
          <w:rFonts w:hint="eastAsia"/>
        </w:rPr>
      </w:pPr>
      <w:r>
        <w:rPr>
          <w:rFonts w:hint="eastAsia"/>
        </w:rPr>
        <w:t>其次是上色风格过于鲜艳的问题，AI模型倾向于输出饱和度较高的色彩，与古画特有的沉稳内敛质感相悖。应对策略是在模型推理后端引入历史传统颜料色域约束，将输出色彩空间限定在朱砂、石绿、赭石、花青等常见矿物与植物颜料的色值范围内，并额外增加做旧程度可调节滑块，允许用户根据具体画作的年代选择适当的氧化与褪色模拟强度。</w:t>
      </w:r>
    </w:p>
    <w:p w14:paraId="452E7F06">
      <w:pPr>
        <w:rPr>
          <w:rFonts w:hint="eastAsia"/>
        </w:rPr>
      </w:pPr>
    </w:p>
    <w:p w14:paraId="7FF3F8E0">
      <w:pPr>
        <w:rPr>
          <w:rFonts w:hint="eastAsia"/>
        </w:rPr>
      </w:pPr>
      <w:r>
        <w:rPr>
          <w:rFonts w:hint="eastAsia"/>
        </w:rPr>
        <w:t>第三是伦理层面的潜在风险，不法分子可能利用该工具伪造高价古画进行市场诈骗。为防范这一漏洞，所有由工具生成的输出图片均强制嵌入不可见的频域数字水印，后台记录每次生成任务的时间戳与用户IP摘要日志，并在用户协议中明确声明禁止用于商业作伪，一经发现将配合执法部门追溯来源。最后是算力成本超支风险，免费模式容易被自动化脚本滥用，平台将设置单IP每日调用上限以及高峰期排队等待机制，在保障真实用户体验的同时维持服务器负载平稳。通过以上多维度的预案设计，项目整体风险处于可控且可承受的范围内。</w:t>
      </w:r>
    </w:p>
    <w:p w14:paraId="1027A9F3">
      <w:pPr>
        <w:rPr>
          <w:rFonts w:hint="eastAsia"/>
        </w:rPr>
      </w:pPr>
    </w:p>
    <w:p w14:paraId="1F53A972">
      <w:pPr>
        <w:rPr>
          <w:rFonts w:hint="eastAsia"/>
        </w:rPr>
      </w:pPr>
      <w:r>
        <w:rPr>
          <w:rFonts w:hint="eastAsia"/>
        </w:rPr>
        <w:t>关于AI辅助写作的说明：本报告初稿使用了大型语言模型进行资料整理与框架搭建，输入的指导提示词为基于用户提供的纲要逐项展开技术选型与成本估算。经过人工核对与修正，着重调整了具体人力成本数值、用户画像中的专业交互细节以及数字水印防伪策略等技术描述，最终成稿中AI生成内容的实质性修改占比约为65%，其余部分由人工结合当前国内文保行业实际现状进行补充和完善。</w:t>
      </w:r>
    </w:p>
    <w:p w14:paraId="7AC8F00A">
      <w:pPr>
        <w:rPr>
          <w:rFonts w:hint="eastAsia"/>
        </w:rPr>
      </w:pPr>
    </w:p>
    <w:p w14:paraId="3F8C5DE5">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DF67A7"/>
    <w:rsid w:val="3ADF67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30</TotalTime>
  <ScaleCrop>false</ScaleCrop>
  <LinksUpToDate>false</LinksUpToDate>
  <CharactersWithSpaces>0</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2026-06-26T00:52:00Z</dcterms:created>
  <dc:creator>WPS_1727255739</dc:creator>
  <cp:lastModifiedBy>WPS_1727255739</cp:lastModifiedBy>
  <dcterms:modified xsi:type="dcterms:W3CDTF">2026-06-26T01:23:40Z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ICV">
    <vt:lpwstr>9C418E7E73854DCC900B98C05529DD2E_11</vt:lpwstr>
  </property>
  <property fmtid="{D5CDD505-2E9C-101B-9397-08002B2CF9AE}" pid="4" name="KSOTemplateDocerSaveRecord">
    <vt:lpwstr>eyJoZGlkIjoiMTU3N2Q1NzMzMTZlMDAyNDhhZmMxNDk2ODgxNzEzNzUiLCJ1c2VySWQiOiIxNjM5NTMxNzgwIn0=</vt:lpwstr>
  </property>
</Properties>
</file>