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color w:val="888888"/>
          <w:sz w:val="28"/>
          <w:szCs w:val="28"/>
        </w:rPr>
        <w:t xml:space="preserve">NHS England</w:t>
      </w:r>
    </w:p>
    <w:p>
      <w:pPr>
        <w:spacing w:after="200" w:before="0"/>
        <w:jc w:val="center"/>
      </w:pPr>
      <w:r>
        <w:rPr>
          <w:rFonts w:ascii="Arial" w:cs="Arial" w:eastAsia="Arial" w:hAnsi="Arial"/>
          <w:b/>
          <w:bCs/>
          <w:color w:val="003087"/>
          <w:sz w:val="48"/>
          <w:szCs w:val="48"/>
        </w:rPr>
        <w:t xml:space="preserve">Referral to Treatment (RTT) Waiting Time Analysis</w:t>
      </w:r>
    </w:p>
    <w:p>
      <w:pPr>
        <w:spacing w:after="120" w:before="0"/>
        <w:jc w:val="center"/>
      </w:pPr>
      <w:r>
        <w:rPr>
          <w:rFonts w:ascii="Arial" w:cs="Arial" w:eastAsia="Arial" w:hAnsi="Arial"/>
          <w:color w:val="333333"/>
          <w:sz w:val="28"/>
          <w:szCs w:val="28"/>
        </w:rPr>
        <w:t xml:space="preserve">September 2021 – February 2026</w:t>
      </w:r>
    </w:p>
    <w:p>
      <w:pPr>
        <w:spacing w:after="480" w:before="0"/>
        <w:jc w:val="center"/>
      </w:pPr>
      <w:r>
        <w:rPr>
          <w:rFonts w:ascii="Arial" w:cs="Arial" w:eastAsia="Arial" w:hAnsi="Arial"/>
          <w:i/>
          <w:iCs/>
          <w:color w:val="888888"/>
          <w:sz w:val="24"/>
          <w:szCs w:val="24"/>
        </w:rPr>
        <w:t xml:space="preserve">Data Insights Report</w:t>
      </w:r>
    </w:p>
    <w:p>
      <w:pPr>
        <w:spacing w:after="80" w:before="80"/>
      </w:pPr>
      <w:r>
        <w:t xml:space="preserve"/>
      </w:r>
    </w:p>
    <w:p>
      <w:pPr>
        <w:spacing w:after="80" w:before="80"/>
      </w:pPr>
      <w:r>
        <w:t xml:space="preserve"/>
      </w:r>
    </w:p>
    <w:p>
      <w:pPr>
        <w:jc w:val="center"/>
      </w:pPr>
      <w:r>
        <w:rPr>
          <w:rFonts w:ascii="Arial" w:cs="Arial" w:eastAsia="Arial" w:hAnsi="Arial"/>
          <w:b/>
          <w:bCs/>
          <w:color w:val="333333"/>
          <w:sz w:val="22"/>
          <w:szCs w:val="22"/>
        </w:rPr>
        <w:t xml:space="preserve">Prepared by: Adeyemi Abodunrin</w:t>
      </w:r>
    </w:p>
    <w:p>
      <w:pPr>
        <w:jc w:val="center"/>
      </w:pPr>
      <w:r>
        <w:rPr>
          <w:rFonts w:ascii="Arial" w:cs="Arial" w:eastAsia="Arial" w:hAnsi="Arial"/>
          <w:color w:val="888888"/>
          <w:sz w:val="20"/>
          <w:szCs w:val="20"/>
        </w:rPr>
        <w:t xml:space="preserve">Data Source: NHS England Waiting List Minimum Data Set (WLMDS)</w:t>
      </w:r>
    </w:p>
    <w:p>
      <w:pPr>
        <w:jc w:val="center"/>
      </w:pPr>
      <w:r>
        <w:rPr>
          <w:rFonts w:ascii="Arial" w:cs="Arial" w:eastAsia="Arial" w:hAnsi="Arial"/>
          <w:color w:val="888888"/>
          <w:sz w:val="20"/>
          <w:szCs w:val="20"/>
        </w:rPr>
        <w:t xml:space="preserve">Published: March 2026  |  Analysis Date: May 2026</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003087"/>
                <w:sz w:val="36"/>
                <w:szCs w:val="36"/>
              </w:rPr>
              <w:t xml:space="preserve">7.68M</w:t>
            </w:r>
          </w:p>
          <w:p>
            <w:pPr>
              <w:jc w:val="center"/>
            </w:pPr>
            <w:r>
              <w:rPr>
                <w:rFonts w:ascii="Arial" w:cs="Arial" w:eastAsia="Arial" w:hAnsi="Arial"/>
                <w:color w:val="333333"/>
                <w:sz w:val="18"/>
                <w:szCs w:val="18"/>
              </w:rPr>
              <w:t xml:space="preserve">Peak Waiting List</w:t>
            </w:r>
          </w:p>
        </w:tc>
        <w:tc>
          <w:tcPr>
            <w:tcW w:type="dxa" w:w="220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CC0000"/>
                <w:sz w:val="36"/>
                <w:szCs w:val="36"/>
              </w:rPr>
              <w:t xml:space="preserve">59%</w:t>
            </w:r>
          </w:p>
          <w:p>
            <w:pPr>
              <w:jc w:val="center"/>
            </w:pPr>
            <w:r>
              <w:rPr>
                <w:rFonts w:ascii="Arial" w:cs="Arial" w:eastAsia="Arial" w:hAnsi="Arial"/>
                <w:color w:val="333333"/>
                <w:sz w:val="18"/>
                <w:szCs w:val="18"/>
              </w:rPr>
              <w:t xml:space="preserve">Avg % Within 18w</w:t>
            </w:r>
          </w:p>
        </w:tc>
        <w:tc>
          <w:tcPr>
            <w:tcW w:type="dxa" w:w="220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009639"/>
                <w:sz w:val="36"/>
                <w:szCs w:val="36"/>
              </w:rPr>
              <w:t xml:space="preserve">92%</w:t>
            </w:r>
          </w:p>
          <w:p>
            <w:pPr>
              <w:jc w:val="center"/>
            </w:pPr>
            <w:r>
              <w:rPr>
                <w:rFonts w:ascii="Arial" w:cs="Arial" w:eastAsia="Arial" w:hAnsi="Arial"/>
                <w:color w:val="333333"/>
                <w:sz w:val="18"/>
                <w:szCs w:val="18"/>
              </w:rPr>
              <w:t xml:space="preserve">NHS 18w Target</w:t>
            </w:r>
          </w:p>
        </w:tc>
        <w:tc>
          <w:tcPr>
            <w:tcW w:type="dxa" w:w="220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jc w:val="center"/>
            </w:pPr>
            <w:r>
              <w:rPr>
                <w:rFonts w:ascii="Arial" w:cs="Arial" w:eastAsia="Arial" w:hAnsi="Arial"/>
                <w:b/>
                <w:bCs/>
                <w:color w:val="8B0000"/>
                <w:sz w:val="36"/>
                <w:szCs w:val="36"/>
              </w:rPr>
              <w:t xml:space="preserve">25,519</w:t>
            </w:r>
          </w:p>
          <w:p>
            <w:pPr>
              <w:jc w:val="center"/>
            </w:pPr>
            <w:r>
              <w:rPr>
                <w:rFonts w:ascii="Arial" w:cs="Arial" w:eastAsia="Arial" w:hAnsi="Arial"/>
                <w:color w:val="333333"/>
                <w:sz w:val="18"/>
                <w:szCs w:val="18"/>
              </w:rPr>
              <w:t xml:space="preserve">Peak 2yr+ Waiters</w:t>
            </w:r>
          </w:p>
        </w:tc>
      </w:tr>
    </w:tbl>
    <w:p>
      <w:pPr>
        <w:spacing w:after="80" w:before="80"/>
      </w:pPr>
      <w:r>
        <w:t xml:space="preserve"/>
      </w:r>
    </w:p>
    <w:p>
      <w:pPr>
        <w:spacing w:after="80" w:before="80"/>
      </w:pPr>
      <w:r>
        <w:t xml:space="preserve"/>
      </w:r>
    </w:p>
    <w:p>
      <w:pPr>
        <w:pStyle w:val="Heading1"/>
        <w:pBdr>
          <w:bottom w:val="single" w:color="003087" w:sz="6" w:space="1"/>
        </w:pBdr>
        <w:spacing w:after="120" w:before="360"/>
      </w:pPr>
      <w:r>
        <w:rPr>
          <w:rFonts w:ascii="Arial" w:cs="Arial" w:eastAsia="Arial" w:hAnsi="Arial"/>
          <w:b/>
          <w:bCs/>
          <w:color w:val="003087"/>
          <w:sz w:val="32"/>
          <w:szCs w:val="32"/>
        </w:rPr>
        <w:t xml:space="preserve">1. Executive Summary</w:t>
      </w:r>
    </w:p>
    <w:p>
      <w:pPr>
        <w:spacing w:after="80" w:before="80"/>
      </w:pPr>
      <w:r>
        <w:rPr>
          <w:rFonts w:ascii="Arial" w:cs="Arial" w:eastAsia="Arial" w:hAnsi="Arial"/>
          <w:color w:val="333333"/>
          <w:sz w:val="22"/>
          <w:szCs w:val="22"/>
        </w:rPr>
        <w:t xml:space="preserve">This report presents a comprehensive analysis of NHS England Referral to Treatment (RTT) waiting time data, covering 232 weekly data points from September 2021 to February 2026. The analysis was conducted using Python (pandas, matplotlib, seaborn, plotly) and machine learning techniques to identify trends, quantify performance gaps, and model future waiting list behaviour.</w:t>
      </w:r>
    </w:p>
    <w:p>
      <w:pPr>
        <w:spacing w:after="80" w:before="80"/>
      </w:pPr>
      <w:r>
        <w:t xml:space="preserve"/>
      </w:r>
    </w:p>
    <w:p>
      <w:pPr>
        <w:spacing w:after="80" w:before="80"/>
      </w:pPr>
      <w:r>
        <w:rPr>
          <w:rFonts w:ascii="Arial" w:cs="Arial" w:eastAsia="Arial" w:hAnsi="Arial"/>
          <w:color w:val="333333"/>
          <w:sz w:val="22"/>
          <w:szCs w:val="22"/>
        </w:rPr>
        <w:t xml:space="preserve">The findings reveal a health system under sustained and significant pressure. The total elective waiting list grew from approximately 5.4 million in September 2021 to a peak of 7.68 million patients — the largest in NHS recorded history. Throughout this entire period, the NHS failed to meet its constitutional standard of treating 92% of patients within 18 weeks of referral, with performance consistently hovering between 56% and 65%.</w:t>
      </w:r>
    </w:p>
    <w:p>
      <w:pPr>
        <w:spacing w:after="80" w:before="80"/>
      </w:pPr>
      <w:r>
        <w:t xml:space="preserve"/>
      </w:r>
    </w:p>
    <w:p>
      <w:pPr>
        <w:pStyle w:val="Heading1"/>
        <w:pBdr>
          <w:bottom w:val="single" w:color="003087" w:sz="6" w:space="1"/>
        </w:pBdr>
        <w:spacing w:after="120" w:before="360"/>
      </w:pPr>
      <w:r>
        <w:rPr>
          <w:rFonts w:ascii="Arial" w:cs="Arial" w:eastAsia="Arial" w:hAnsi="Arial"/>
          <w:b/>
          <w:bCs/>
          <w:color w:val="003087"/>
          <w:sz w:val="32"/>
          <w:szCs w:val="32"/>
        </w:rPr>
        <w:t xml:space="preserve">2. Background &amp; Context</w:t>
      </w:r>
    </w:p>
    <w:p>
      <w:pPr>
        <w:pStyle w:val="Heading2"/>
        <w:spacing w:after="80" w:before="240"/>
      </w:pPr>
      <w:r>
        <w:rPr>
          <w:rFonts w:ascii="Arial" w:cs="Arial" w:eastAsia="Arial" w:hAnsi="Arial"/>
          <w:b/>
          <w:bCs/>
          <w:color w:val="333333"/>
          <w:sz w:val="26"/>
          <w:szCs w:val="26"/>
        </w:rPr>
        <w:t xml:space="preserve">2.1 What is RTT?</w:t>
      </w:r>
    </w:p>
    <w:p>
      <w:pPr>
        <w:spacing w:after="80" w:before="80"/>
      </w:pPr>
      <w:r>
        <w:rPr>
          <w:rFonts w:ascii="Arial" w:cs="Arial" w:eastAsia="Arial" w:hAnsi="Arial"/>
          <w:color w:val="333333"/>
          <w:sz w:val="22"/>
          <w:szCs w:val="22"/>
        </w:rPr>
        <w:t xml:space="preserve">The Referral to Treatment (RTT) pathway measures the time from when a GP refers a patient to a consultant-led service, to when they begin treatment. Under the NHS Constitution, 92% of patients on incomplete pathways should wait no longer than 18 weeks. This is one of the most closely watched performance standards in the NHS.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2.2 Data Source</w:t>
      </w:r>
    </w:p>
    <w:p>
      <w:pPr>
        <w:spacing w:after="80" w:before="80"/>
      </w:pPr>
      <w:r>
        <w:rPr>
          <w:rFonts w:ascii="Arial" w:cs="Arial" w:eastAsia="Arial" w:hAnsi="Arial"/>
          <w:color w:val="333333"/>
          <w:sz w:val="22"/>
          <w:szCs w:val="22"/>
        </w:rPr>
        <w:t xml:space="preserve">The data was sourced from the NHS England Waiting List Minimum Data Set (WLMDS), published on 12th March 2026. It covers national-level weekly incomplete pathway data from NHS acute providers across England, including breakdown by waiting time bands, completed pathway activity, and new RTT period volumes.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2.3 Context</w:t>
      </w:r>
    </w:p>
    <w:p>
      <w:pPr>
        <w:spacing w:after="80" w:before="80"/>
      </w:pPr>
      <w:r>
        <w:rPr>
          <w:rFonts w:ascii="Arial" w:cs="Arial" w:eastAsia="Arial" w:hAnsi="Arial"/>
          <w:color w:val="333333"/>
          <w:sz w:val="22"/>
          <w:szCs w:val="22"/>
        </w:rPr>
        <w:t xml:space="preserve">The analysis period (2021–2026) captures one of the most turbulent periods in NHS history, shaped by:</w:t>
      </w:r>
    </w:p>
    <w:p>
      <w:pPr>
        <w:pStyle w:val="ListParagraph"/>
        <w:numPr>
          <w:ilvl w:val="0"/>
          <w:numId w:val="2"/>
        </w:numPr>
        <w:spacing w:after="40" w:before="40"/>
      </w:pPr>
      <w:r>
        <w:rPr>
          <w:rFonts w:ascii="Arial" w:cs="Arial" w:eastAsia="Arial" w:hAnsi="Arial"/>
          <w:color w:val="333333"/>
          <w:sz w:val="22"/>
          <w:szCs w:val="22"/>
        </w:rPr>
        <w:t xml:space="preserve">The aftermath of COVID-19, which caused mass postponement of elective procedures</w:t>
      </w:r>
    </w:p>
    <w:p>
      <w:pPr>
        <w:pStyle w:val="ListParagraph"/>
        <w:numPr>
          <w:ilvl w:val="0"/>
          <w:numId w:val="2"/>
        </w:numPr>
        <w:spacing w:after="40" w:before="40"/>
      </w:pPr>
      <w:r>
        <w:rPr>
          <w:rFonts w:ascii="Arial" w:cs="Arial" w:eastAsia="Arial" w:hAnsi="Arial"/>
          <w:color w:val="333333"/>
          <w:sz w:val="22"/>
          <w:szCs w:val="22"/>
        </w:rPr>
        <w:t xml:space="preserve">Industrial action by NHS staff in 2023–2024, which disrupted elective activity</w:t>
      </w:r>
    </w:p>
    <w:p>
      <w:pPr>
        <w:pStyle w:val="ListParagraph"/>
        <w:numPr>
          <w:ilvl w:val="0"/>
          <w:numId w:val="2"/>
        </w:numPr>
        <w:spacing w:after="40" w:before="40"/>
      </w:pPr>
      <w:r>
        <w:rPr>
          <w:rFonts w:ascii="Arial" w:cs="Arial" w:eastAsia="Arial" w:hAnsi="Arial"/>
          <w:color w:val="333333"/>
          <w:sz w:val="22"/>
          <w:szCs w:val="22"/>
        </w:rPr>
        <w:t xml:space="preserve">Sustained demand growth outpacing capacity recovery</w:t>
      </w:r>
    </w:p>
    <w:p>
      <w:pPr>
        <w:pStyle w:val="ListParagraph"/>
        <w:numPr>
          <w:ilvl w:val="0"/>
          <w:numId w:val="2"/>
        </w:numPr>
        <w:spacing w:after="40" w:before="40"/>
      </w:pPr>
      <w:r>
        <w:rPr>
          <w:rFonts w:ascii="Arial" w:cs="Arial" w:eastAsia="Arial" w:hAnsi="Arial"/>
          <w:color w:val="333333"/>
          <w:sz w:val="22"/>
          <w:szCs w:val="22"/>
        </w:rPr>
        <w:t xml:space="preserve">Government-led elective recovery plans introduced from 2022 onwards</w:t>
      </w:r>
    </w:p>
    <w:p>
      <w:pPr>
        <w:spacing w:after="80" w:before="80"/>
      </w:pPr>
      <w:r>
        <w:t xml:space="preserve"/>
      </w:r>
    </w:p>
    <w:p>
      <w:pPr>
        <w:pStyle w:val="Heading1"/>
        <w:pBdr>
          <w:bottom w:val="single" w:color="003087" w:sz="6" w:space="1"/>
        </w:pBdr>
        <w:spacing w:after="120" w:before="360"/>
      </w:pPr>
      <w:r>
        <w:rPr>
          <w:rFonts w:ascii="Arial" w:cs="Arial" w:eastAsia="Arial" w:hAnsi="Arial"/>
          <w:b/>
          <w:bCs/>
          <w:color w:val="003087"/>
          <w:sz w:val="32"/>
          <w:szCs w:val="32"/>
        </w:rPr>
        <w:t xml:space="preserve">3. Key Findings</w:t>
      </w:r>
    </w:p>
    <w:p>
      <w:pPr>
        <w:pStyle w:val="Heading2"/>
        <w:spacing w:after="80" w:before="240"/>
      </w:pPr>
      <w:r>
        <w:rPr>
          <w:rFonts w:ascii="Arial" w:cs="Arial" w:eastAsia="Arial" w:hAnsi="Arial"/>
          <w:b/>
          <w:bCs/>
          <w:color w:val="333333"/>
          <w:sz w:val="26"/>
          <w:szCs w:val="26"/>
        </w:rPr>
        <w:t xml:space="preserve">3.1 Total Waiting List Growth</w:t>
      </w:r>
    </w:p>
    <w:p>
      <w:pPr>
        <w:spacing w:after="80" w:before="80"/>
      </w:pPr>
      <w:r>
        <w:rPr>
          <w:rFonts w:ascii="Arial" w:cs="Arial" w:eastAsia="Arial" w:hAnsi="Arial"/>
          <w:color w:val="333333"/>
          <w:sz w:val="22"/>
          <w:szCs w:val="22"/>
        </w:rPr>
        <w:t xml:space="preserve">The NHS elective waiting list grew substantially across the analysis period:</w:t>
      </w:r>
    </w:p>
    <w:p>
      <w:pPr>
        <w:pStyle w:val="ListParagraph"/>
        <w:numPr>
          <w:ilvl w:val="0"/>
          <w:numId w:val="2"/>
        </w:numPr>
        <w:spacing w:after="40" w:before="40"/>
      </w:pPr>
      <w:r>
        <w:rPr>
          <w:rFonts w:ascii="Arial" w:cs="Arial" w:eastAsia="Arial" w:hAnsi="Arial"/>
          <w:color w:val="333333"/>
          <w:sz w:val="22"/>
          <w:szCs w:val="22"/>
        </w:rPr>
        <w:t xml:space="preserve">Starting point (September 2021): 5.37 million patients</w:t>
      </w:r>
    </w:p>
    <w:p>
      <w:pPr>
        <w:pStyle w:val="ListParagraph"/>
        <w:numPr>
          <w:ilvl w:val="0"/>
          <w:numId w:val="2"/>
        </w:numPr>
        <w:spacing w:after="40" w:before="40"/>
      </w:pPr>
      <w:r>
        <w:rPr>
          <w:rFonts w:ascii="Arial" w:cs="Arial" w:eastAsia="Arial" w:hAnsi="Arial"/>
          <w:color w:val="333333"/>
          <w:sz w:val="22"/>
          <w:szCs w:val="22"/>
        </w:rPr>
        <w:t xml:space="preserve">Peak (mid-2024): 7.68 million patients — an increase of 43% in under 3 years</w:t>
      </w:r>
    </w:p>
    <w:p>
      <w:pPr>
        <w:pStyle w:val="ListParagraph"/>
        <w:numPr>
          <w:ilvl w:val="0"/>
          <w:numId w:val="2"/>
        </w:numPr>
        <w:spacing w:after="40" w:before="40"/>
      </w:pPr>
      <w:r>
        <w:rPr>
          <w:rFonts w:ascii="Arial" w:cs="Arial" w:eastAsia="Arial" w:hAnsi="Arial"/>
          <w:color w:val="333333"/>
          <w:sz w:val="22"/>
          <w:szCs w:val="22"/>
        </w:rPr>
        <w:t xml:space="preserve">End of period (February 2026): approximately 7.2 million, suggesting early signs of stabilisation</w:t>
      </w:r>
    </w:p>
    <w:p>
      <w:pPr>
        <w:spacing w:after="80" w:before="80"/>
      </w:pPr>
      <w:r>
        <w:t xml:space="preserve"/>
      </w:r>
    </w:p>
    <w:p>
      <w:pPr>
        <w:spacing w:after="80" w:before="80"/>
      </w:pPr>
      <w:r>
        <w:rPr>
          <w:rFonts w:ascii="Arial" w:cs="Arial" w:eastAsia="Arial" w:hAnsi="Arial"/>
          <w:color w:val="333333"/>
          <w:sz w:val="22"/>
          <w:szCs w:val="22"/>
        </w:rPr>
        <w:t xml:space="preserve">The growth trajectory was not linear. The list expanded rapidly between late 2021 and mid-2023 as the NHS worked through COVID backlogs while simultaneously managing high incoming referral volumes. Growth plateaued and began a modest decline from late 2024, coinciding with increased elective activity targets under the NHS Long Term Workforce Plan.</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3.2 Performance Against the 18-Week Target</w:t>
      </w:r>
    </w:p>
    <w:p>
      <w:pPr>
        <w:spacing w:after="80" w:before="80"/>
      </w:pPr>
      <w:r>
        <w:rPr>
          <w:rFonts w:ascii="Arial" w:cs="Arial" w:eastAsia="Arial" w:hAnsi="Arial"/>
          <w:color w:val="333333"/>
          <w:sz w:val="22"/>
          <w:szCs w:val="22"/>
        </w:rPr>
        <w:t xml:space="preserve">The NHS constitutional standard requires 92% of patients on incomplete pathways to be waiting no longer than 18 weeks. This target was not met at any point during the entire analysis period.</w:t>
      </w:r>
    </w:p>
    <w:p>
      <w:pPr>
        <w:pStyle w:val="ListParagraph"/>
        <w:numPr>
          <w:ilvl w:val="0"/>
          <w:numId w:val="2"/>
        </w:numPr>
        <w:spacing w:after="40" w:before="40"/>
      </w:pPr>
      <w:r>
        <w:rPr>
          <w:rFonts w:ascii="Arial" w:cs="Arial" w:eastAsia="Arial" w:hAnsi="Arial"/>
          <w:color w:val="333333"/>
          <w:sz w:val="22"/>
          <w:szCs w:val="22"/>
        </w:rPr>
        <w:t xml:space="preserve">Average % within 18 weeks: 59% (against a 92% target)</w:t>
      </w:r>
    </w:p>
    <w:p>
      <w:pPr>
        <w:pStyle w:val="ListParagraph"/>
        <w:numPr>
          <w:ilvl w:val="0"/>
          <w:numId w:val="2"/>
        </w:numPr>
        <w:spacing w:after="40" w:before="40"/>
      </w:pPr>
      <w:r>
        <w:rPr>
          <w:rFonts w:ascii="Arial" w:cs="Arial" w:eastAsia="Arial" w:hAnsi="Arial"/>
          <w:color w:val="333333"/>
          <w:sz w:val="22"/>
          <w:szCs w:val="22"/>
        </w:rPr>
        <w:t xml:space="preserve">Minimum recorded: 56% (during periods of peak pressure)</w:t>
      </w:r>
    </w:p>
    <w:p>
      <w:pPr>
        <w:pStyle w:val="ListParagraph"/>
        <w:numPr>
          <w:ilvl w:val="0"/>
          <w:numId w:val="2"/>
        </w:numPr>
        <w:spacing w:after="40" w:before="40"/>
      </w:pPr>
      <w:r>
        <w:rPr>
          <w:rFonts w:ascii="Arial" w:cs="Arial" w:eastAsia="Arial" w:hAnsi="Arial"/>
          <w:color w:val="333333"/>
          <w:sz w:val="22"/>
          <w:szCs w:val="22"/>
        </w:rPr>
        <w:t xml:space="preserve">Maximum recorded: 65% (in earlier weeks of the dataset)</w:t>
      </w:r>
    </w:p>
    <w:p>
      <w:pPr>
        <w:spacing w:after="80" w:before="80"/>
      </w:pPr>
      <w:r>
        <w:t xml:space="preserve"/>
      </w:r>
    </w:p>
    <w:p>
      <w:pPr>
        <w:spacing w:after="80" w:before="80"/>
      </w:pPr>
      <w:r>
        <w:rPr>
          <w:rFonts w:ascii="Arial" w:cs="Arial" w:eastAsia="Arial" w:hAnsi="Arial"/>
          <w:color w:val="333333"/>
          <w:sz w:val="22"/>
          <w:szCs w:val="22"/>
        </w:rPr>
        <w:t xml:space="preserve">The gap between actual performance (approximately 59%) and the constitutional target (92%) represents a shortfall of over 30 percentage points — meaning roughly one in three patients waited longer than they should have at any given time. This is not a marginal miss; it represents a systemic, sustained failure to meet a core patient right.</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3.3 Long Waiter Crisis</w:t>
      </w:r>
    </w:p>
    <w:p>
      <w:pPr>
        <w:spacing w:after="80" w:before="80"/>
      </w:pPr>
      <w:r>
        <w:rPr>
          <w:rFonts w:ascii="Arial" w:cs="Arial" w:eastAsia="Arial" w:hAnsi="Arial"/>
          <w:color w:val="333333"/>
          <w:sz w:val="22"/>
          <w:szCs w:val="22"/>
        </w:rPr>
        <w:t xml:space="preserve">Among the most clinically significant findings is the trajectory of patients waiting over 52 weeks (one year) and over 104 weeks (two years):</w:t>
      </w:r>
    </w:p>
    <w:p>
      <w:pPr>
        <w:pStyle w:val="ListParagraph"/>
        <w:numPr>
          <w:ilvl w:val="0"/>
          <w:numId w:val="2"/>
        </w:numPr>
        <w:spacing w:after="40" w:before="40"/>
      </w:pPr>
      <w:r>
        <w:rPr>
          <w:rFonts w:ascii="Arial" w:cs="Arial" w:eastAsia="Arial" w:hAnsi="Arial"/>
          <w:color w:val="333333"/>
          <w:sz w:val="22"/>
          <w:szCs w:val="22"/>
        </w:rPr>
        <w:t xml:space="preserve">52–65 week waiters peaked at approximately 300,000 patients in early 2024</w:t>
      </w:r>
    </w:p>
    <w:p>
      <w:pPr>
        <w:pStyle w:val="ListParagraph"/>
        <w:numPr>
          <w:ilvl w:val="0"/>
          <w:numId w:val="2"/>
        </w:numPr>
        <w:spacing w:after="40" w:before="40"/>
      </w:pPr>
      <w:r>
        <w:rPr>
          <w:rFonts w:ascii="Arial" w:cs="Arial" w:eastAsia="Arial" w:hAnsi="Arial"/>
          <w:color w:val="333333"/>
          <w:sz w:val="22"/>
          <w:szCs w:val="22"/>
        </w:rPr>
        <w:t xml:space="preserve">104+ week waiters (two-year waiters) peaked at 25,519 — a figure that would have been politically unthinkable pre-pandemic</w:t>
      </w:r>
    </w:p>
    <w:p>
      <w:pPr>
        <w:pStyle w:val="ListParagraph"/>
        <w:numPr>
          <w:ilvl w:val="0"/>
          <w:numId w:val="2"/>
        </w:numPr>
        <w:spacing w:after="40" w:before="40"/>
      </w:pPr>
      <w:r>
        <w:rPr>
          <w:rFonts w:ascii="Arial" w:cs="Arial" w:eastAsia="Arial" w:hAnsi="Arial"/>
          <w:color w:val="333333"/>
          <w:sz w:val="22"/>
          <w:szCs w:val="22"/>
        </w:rPr>
        <w:t xml:space="preserve">By February 2026, 104+ week waiters had declined significantly, reflecting targeted NHS England interventions to eliminate the longest waits</w:t>
      </w:r>
    </w:p>
    <w:p>
      <w:pPr>
        <w:spacing w:after="80" w:before="80"/>
      </w:pPr>
      <w:r>
        <w:t xml:space="preserve"/>
      </w:r>
    </w:p>
    <w:p>
      <w:pPr>
        <w:spacing w:after="80" w:before="80"/>
      </w:pPr>
      <w:r>
        <w:rPr>
          <w:rFonts w:ascii="Arial" w:cs="Arial" w:eastAsia="Arial" w:hAnsi="Arial"/>
          <w:color w:val="333333"/>
          <w:sz w:val="22"/>
          <w:szCs w:val="22"/>
        </w:rPr>
        <w:t xml:space="preserve">The reduction in two-year waiters is an area of genuine progress. NHS England committed to eliminating waits of over two years by July 2023, and the data shows sustained improvement from the 2022 peak, though with notable fluctuations likely reflecting industrial action periods.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3.4 Stacked Wait Band Analysis</w:t>
      </w:r>
    </w:p>
    <w:p>
      <w:pPr>
        <w:spacing w:after="80" w:before="80"/>
      </w:pPr>
      <w:r>
        <w:rPr>
          <w:rFonts w:ascii="Arial" w:cs="Arial" w:eastAsia="Arial" w:hAnsi="Arial"/>
          <w:color w:val="333333"/>
          <w:sz w:val="22"/>
          <w:szCs w:val="22"/>
        </w:rPr>
        <w:t xml:space="preserve">Analysis of the waiting list composition by time band revealed structural changes in who is waiting and for how long:</w:t>
      </w:r>
    </w:p>
    <w:p>
      <w:pPr>
        <w:pStyle w:val="ListParagraph"/>
        <w:numPr>
          <w:ilvl w:val="0"/>
          <w:numId w:val="2"/>
        </w:numPr>
        <w:spacing w:after="40" w:before="40"/>
      </w:pPr>
      <w:r>
        <w:rPr>
          <w:rFonts w:ascii="Arial" w:cs="Arial" w:eastAsia="Arial" w:hAnsi="Arial"/>
          <w:color w:val="333333"/>
          <w:sz w:val="22"/>
          <w:szCs w:val="22"/>
        </w:rPr>
        <w:t xml:space="preserve">The proportion of patients waiting within 18 weeks has remained relatively stable as a share of the total list, suggesting the system is not clearing the backlog from the top down</w:t>
      </w:r>
    </w:p>
    <w:p>
      <w:pPr>
        <w:pStyle w:val="ListParagraph"/>
        <w:numPr>
          <w:ilvl w:val="0"/>
          <w:numId w:val="2"/>
        </w:numPr>
        <w:spacing w:after="40" w:before="40"/>
      </w:pPr>
      <w:r>
        <w:rPr>
          <w:rFonts w:ascii="Arial" w:cs="Arial" w:eastAsia="Arial" w:hAnsi="Arial"/>
          <w:color w:val="333333"/>
          <w:sz w:val="22"/>
          <w:szCs w:val="22"/>
        </w:rPr>
        <w:t xml:space="preserve">The 18–40 week bands have grown substantially, indicating a large ‘middle cohort’ accumulating in the system</w:t>
      </w:r>
    </w:p>
    <w:p>
      <w:pPr>
        <w:pStyle w:val="ListParagraph"/>
        <w:numPr>
          <w:ilvl w:val="0"/>
          <w:numId w:val="2"/>
        </w:numPr>
        <w:spacing w:after="40" w:before="40"/>
      </w:pPr>
      <w:r>
        <w:rPr>
          <w:rFonts w:ascii="Arial" w:cs="Arial" w:eastAsia="Arial" w:hAnsi="Arial"/>
          <w:color w:val="333333"/>
          <w:sz w:val="22"/>
          <w:szCs w:val="22"/>
        </w:rPr>
        <w:t xml:space="preserve">Long waits (52w+) grew as a proportion of the total list through 2022–2023 before beginning to fall</w:t>
      </w:r>
    </w:p>
    <w:p>
      <w:pPr>
        <w:spacing w:after="80" w:before="80"/>
      </w:pPr>
      <w:r>
        <w:t xml:space="preserve"/>
      </w:r>
    </w:p>
    <w:p>
      <w:pPr>
        <w:pStyle w:val="Heading1"/>
        <w:pBdr>
          <w:bottom w:val="single" w:color="003087" w:sz="6" w:space="1"/>
        </w:pBdr>
        <w:spacing w:after="120" w:before="360"/>
      </w:pPr>
      <w:r>
        <w:rPr>
          <w:rFonts w:ascii="Arial" w:cs="Arial" w:eastAsia="Arial" w:hAnsi="Arial"/>
          <w:b/>
          <w:bCs/>
          <w:color w:val="003087"/>
          <w:sz w:val="32"/>
          <w:szCs w:val="32"/>
        </w:rPr>
        <w:t xml:space="preserve">4. Predictive Modelling</w:t>
      </w:r>
    </w:p>
    <w:p>
      <w:pPr>
        <w:pStyle w:val="Heading2"/>
        <w:spacing w:after="80" w:before="240"/>
      </w:pPr>
      <w:r>
        <w:rPr>
          <w:rFonts w:ascii="Arial" w:cs="Arial" w:eastAsia="Arial" w:hAnsi="Arial"/>
          <w:b/>
          <w:bCs/>
          <w:color w:val="333333"/>
          <w:sz w:val="26"/>
          <w:szCs w:val="26"/>
        </w:rPr>
        <w:t xml:space="preserve">4.1 Model Overview</w:t>
      </w:r>
    </w:p>
    <w:p>
      <w:pPr>
        <w:spacing w:after="80" w:before="80"/>
      </w:pPr>
      <w:r>
        <w:rPr>
          <w:rFonts w:ascii="Arial" w:cs="Arial" w:eastAsia="Arial" w:hAnsi="Arial"/>
          <w:color w:val="333333"/>
          <w:sz w:val="22"/>
          <w:szCs w:val="22"/>
        </w:rPr>
        <w:t xml:space="preserve">A Linear Regression model was developed to predict the total NHS waiting list size using four input features:</w:t>
      </w:r>
    </w:p>
    <w:p>
      <w:pPr>
        <w:pStyle w:val="ListParagraph"/>
        <w:numPr>
          <w:ilvl w:val="0"/>
          <w:numId w:val="2"/>
        </w:numPr>
        <w:spacing w:after="40" w:before="40"/>
      </w:pPr>
      <w:r>
        <w:rPr>
          <w:rFonts w:ascii="Arial" w:cs="Arial" w:eastAsia="Arial" w:hAnsi="Arial"/>
          <w:color w:val="333333"/>
          <w:sz w:val="22"/>
          <w:szCs w:val="22"/>
        </w:rPr>
        <w:t xml:space="preserve">days_since_start: The number of days elapsed since the start of the dataset (captures the time trend)</w:t>
      </w:r>
    </w:p>
    <w:p>
      <w:pPr>
        <w:pStyle w:val="ListParagraph"/>
        <w:numPr>
          <w:ilvl w:val="0"/>
          <w:numId w:val="2"/>
        </w:numPr>
        <w:spacing w:after="40" w:before="40"/>
      </w:pPr>
      <w:r>
        <w:rPr>
          <w:rFonts w:ascii="Arial" w:cs="Arial" w:eastAsia="Arial" w:hAnsi="Arial"/>
          <w:color w:val="333333"/>
          <w:sz w:val="22"/>
          <w:szCs w:val="22"/>
        </w:rPr>
        <w:t xml:space="preserve">within_18w: The number of patients waiting within 18 weeks</w:t>
      </w:r>
    </w:p>
    <w:p>
      <w:pPr>
        <w:pStyle w:val="ListParagraph"/>
        <w:numPr>
          <w:ilvl w:val="0"/>
          <w:numId w:val="2"/>
        </w:numPr>
        <w:spacing w:after="40" w:before="40"/>
      </w:pPr>
      <w:r>
        <w:rPr>
          <w:rFonts w:ascii="Arial" w:cs="Arial" w:eastAsia="Arial" w:hAnsi="Arial"/>
          <w:color w:val="333333"/>
          <w:sz w:val="22"/>
          <w:szCs w:val="22"/>
        </w:rPr>
        <w:t xml:space="preserve">over_104w: The number of patients waiting over 104 weeks (2+ years)</w:t>
      </w:r>
    </w:p>
    <w:p>
      <w:pPr>
        <w:pStyle w:val="ListParagraph"/>
        <w:numPr>
          <w:ilvl w:val="0"/>
          <w:numId w:val="2"/>
        </w:numPr>
        <w:spacing w:after="40" w:before="40"/>
      </w:pPr>
      <w:r>
        <w:rPr>
          <w:rFonts w:ascii="Arial" w:cs="Arial" w:eastAsia="Arial" w:hAnsi="Arial"/>
          <w:color w:val="333333"/>
          <w:sz w:val="22"/>
          <w:szCs w:val="22"/>
        </w:rPr>
        <w:t xml:space="preserve">pct_within_18w: The percentage of patients seen within 18 weeks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4.2 Model Performance</w:t>
      </w:r>
    </w:p>
    <w:p>
      <w:pPr>
        <w:spacing w:after="80" w:before="80"/>
      </w:pPr>
      <w:r>
        <w:rPr>
          <w:rFonts w:ascii="Arial" w:cs="Arial" w:eastAsia="Arial" w:hAnsi="Arial"/>
          <w:color w:val="333333"/>
          <w:sz w:val="22"/>
          <w:szCs w:val="22"/>
        </w:rPr>
        <w:t xml:space="preserve">The model was trained on 80% of the data (186 weeks) and tested on the remaining 20% (47 weeks). Results: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003087"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R²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9639"/>
                <w:sz w:val="22"/>
                <w:szCs w:val="22"/>
              </w:rPr>
              <w:t xml:space="preserve">0.9991 (99.91% variance explained)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Mean Absolute Error (MAE)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14,968 patients (~0.2% of total list)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Training 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186 weeks (80%)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 Set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47 weeks (20%)</w:t>
            </w:r>
          </w:p>
        </w:tc>
      </w:tr>
    </w:tbl>
    <w:p>
      <w:pPr>
        <w:spacing w:after="80" w:before="80"/>
      </w:pPr>
      <w:r>
        <w:t xml:space="preserve"/>
      </w:r>
    </w:p>
    <w:p>
      <w:pPr>
        <w:pStyle w:val="Heading2"/>
        <w:spacing w:after="80" w:before="240"/>
      </w:pPr>
      <w:r>
        <w:rPr>
          <w:rFonts w:ascii="Arial" w:cs="Arial" w:eastAsia="Arial" w:hAnsi="Arial"/>
          <w:b/>
          <w:bCs/>
          <w:color w:val="333333"/>
          <w:sz w:val="26"/>
          <w:szCs w:val="26"/>
        </w:rPr>
        <w:t xml:space="preserve">4.3 Feature Importance &amp; Interpretation</w:t>
      </w:r>
    </w:p>
    <w:p>
      <w:pPr>
        <w:spacing w:after="80" w:before="80"/>
      </w:pPr>
      <w:r>
        <w:rPr>
          <w:rFonts w:ascii="Arial" w:cs="Arial" w:eastAsia="Arial" w:hAnsi="Arial"/>
          <w:color w:val="333333"/>
          <w:sz w:val="22"/>
          <w:szCs w:val="22"/>
        </w:rPr>
        <w:t xml:space="preserve">Coefficient analysis revealed the relative influence of each feature:</w:t>
      </w:r>
    </w:p>
    <w:p>
      <w:pPr>
        <w:pStyle w:val="ListParagraph"/>
        <w:numPr>
          <w:ilvl w:val="0"/>
          <w:numId w:val="2"/>
        </w:numPr>
        <w:spacing w:after="40" w:before="40"/>
      </w:pPr>
      <w:r>
        <w:rPr>
          <w:rFonts w:ascii="Arial" w:cs="Arial" w:eastAsia="Arial" w:hAnsi="Arial"/>
          <w:color w:val="333333"/>
          <w:sz w:val="22"/>
          <w:szCs w:val="22"/>
        </w:rPr>
        <w:t xml:space="preserve">pct_within_18w had by far the largest coefficient (-11,378,850), confirming that the percentage of patients seen on time is the single strongest predictor of waiting list size. A fall in this metric signals systemic overload.</w:t>
      </w:r>
    </w:p>
    <w:p>
      <w:pPr>
        <w:pStyle w:val="ListParagraph"/>
        <w:numPr>
          <w:ilvl w:val="0"/>
          <w:numId w:val="2"/>
        </w:numPr>
        <w:spacing w:after="40" w:before="40"/>
      </w:pPr>
      <w:r>
        <w:rPr>
          <w:rFonts w:ascii="Arial" w:cs="Arial" w:eastAsia="Arial" w:hAnsi="Arial"/>
          <w:color w:val="333333"/>
          <w:sz w:val="22"/>
          <w:szCs w:val="22"/>
        </w:rPr>
        <w:t xml:space="preserve">within_18w (+1.67) and over_104w (+1.60) both positively correlate with total list size, reflecting that all wait bands grow together as the system fills up.</w:t>
      </w:r>
    </w:p>
    <w:p>
      <w:pPr>
        <w:pStyle w:val="ListParagraph"/>
        <w:numPr>
          <w:ilvl w:val="0"/>
          <w:numId w:val="2"/>
        </w:numPr>
        <w:spacing w:after="40" w:before="40"/>
      </w:pPr>
      <w:r>
        <w:rPr>
          <w:rFonts w:ascii="Arial" w:cs="Arial" w:eastAsia="Arial" w:hAnsi="Arial"/>
          <w:color w:val="333333"/>
          <w:sz w:val="22"/>
          <w:szCs w:val="22"/>
        </w:rPr>
        <w:t xml:space="preserve">days_since_start (-12.25) captures a mild downward weekly correction, reflecting natural week-to-week fluctuation around the longer-term trend.</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4.4 Model Limitations</w:t>
      </w:r>
    </w:p>
    <w:p>
      <w:pPr>
        <w:spacing w:after="80" w:before="80"/>
      </w:pPr>
      <w:r>
        <w:rPr>
          <w:rFonts w:ascii="Arial" w:cs="Arial" w:eastAsia="Arial" w:hAnsi="Arial"/>
          <w:color w:val="333333"/>
          <w:sz w:val="22"/>
          <w:szCs w:val="22"/>
        </w:rPr>
        <w:t xml:space="preserve">An R² of 0.9991 warrants careful interpretation. This near-perfect score reflects the steady, consistent growth trajectory of the NHS waiting list — a trend that is inherently easy for a linear model to fit. Key limitations include:</w:t>
      </w:r>
    </w:p>
    <w:p>
      <w:pPr>
        <w:pStyle w:val="ListParagraph"/>
        <w:numPr>
          <w:ilvl w:val="0"/>
          <w:numId w:val="2"/>
        </w:numPr>
        <w:spacing w:after="40" w:before="40"/>
      </w:pPr>
      <w:r>
        <w:rPr>
          <w:rFonts w:ascii="Arial" w:cs="Arial" w:eastAsia="Arial" w:hAnsi="Arial"/>
          <w:color w:val="333333"/>
          <w:sz w:val="22"/>
          <w:szCs w:val="22"/>
        </w:rPr>
        <w:t xml:space="preserve">The model would not have predicted sudden shocks such as the COVID-19 pandemic, NHS industrial action, or major policy changes</w:t>
      </w:r>
    </w:p>
    <w:p>
      <w:pPr>
        <w:pStyle w:val="ListParagraph"/>
        <w:numPr>
          <w:ilvl w:val="0"/>
          <w:numId w:val="2"/>
        </w:numPr>
        <w:spacing w:after="40" w:before="40"/>
      </w:pPr>
      <w:r>
        <w:rPr>
          <w:rFonts w:ascii="Arial" w:cs="Arial" w:eastAsia="Arial" w:hAnsi="Arial"/>
          <w:color w:val="333333"/>
          <w:sz w:val="22"/>
          <w:szCs w:val="22"/>
        </w:rPr>
        <w:t xml:space="preserve">Linear regression assumes the relationship between features and the waiting list remains constant over time, which may not hold as the system changes</w:t>
      </w:r>
    </w:p>
    <w:p>
      <w:pPr>
        <w:pStyle w:val="ListParagraph"/>
        <w:numPr>
          <w:ilvl w:val="0"/>
          <w:numId w:val="2"/>
        </w:numPr>
        <w:spacing w:after="40" w:before="40"/>
      </w:pPr>
      <w:r>
        <w:rPr>
          <w:rFonts w:ascii="Arial" w:cs="Arial" w:eastAsia="Arial" w:hAnsi="Arial"/>
          <w:color w:val="333333"/>
          <w:sz w:val="22"/>
          <w:szCs w:val="22"/>
        </w:rPr>
        <w:t xml:space="preserve">A more robust approach for forecasting would incorporate time-series methods (e.g. ARIMA, Prophet) or ensemble models that capture non-linear dynamics</w:t>
      </w:r>
    </w:p>
    <w:p>
      <w:pPr>
        <w:spacing w:after="80" w:before="80"/>
      </w:pPr>
      <w:r>
        <w:t xml:space="preserve"/>
      </w:r>
    </w:p>
    <w:p>
      <w:pPr>
        <w:spacing w:after="80" w:before="80"/>
      </w:pPr>
      <w:r>
        <w:rPr>
          <w:rFonts w:ascii="Arial" w:cs="Arial" w:eastAsia="Arial" w:hAnsi="Arial"/>
          <w:color w:val="333333"/>
          <w:sz w:val="22"/>
          <w:szCs w:val="22"/>
        </w:rPr>
        <w:t xml:space="preserve">Despite these limitations, the model performs well as a descriptive and explanatory tool, confirming which factors most strongly predict waiting list size and demonstrating the value of machine learning in health data science contexts.</w:t>
      </w:r>
    </w:p>
    <w:p>
      <w:pPr>
        <w:spacing w:after="80" w:before="80"/>
      </w:pPr>
      <w:r>
        <w:t xml:space="preserve"/>
      </w:r>
    </w:p>
    <w:p>
      <w:pPr>
        <w:pStyle w:val="Heading1"/>
        <w:pBdr>
          <w:bottom w:val="single" w:color="003087" w:sz="6" w:space="1"/>
        </w:pBdr>
        <w:spacing w:after="120" w:before="360"/>
      </w:pPr>
      <w:r>
        <w:rPr>
          <w:rFonts w:ascii="Arial" w:cs="Arial" w:eastAsia="Arial" w:hAnsi="Arial"/>
          <w:b/>
          <w:bCs/>
          <w:color w:val="003087"/>
          <w:sz w:val="32"/>
          <w:szCs w:val="32"/>
        </w:rPr>
        <w:t xml:space="preserve">5. Conclusions &amp; Recommendations</w:t>
      </w:r>
    </w:p>
    <w:p>
      <w:pPr>
        <w:pStyle w:val="Heading2"/>
        <w:spacing w:after="80" w:before="240"/>
      </w:pPr>
      <w:r>
        <w:rPr>
          <w:rFonts w:ascii="Arial" w:cs="Arial" w:eastAsia="Arial" w:hAnsi="Arial"/>
          <w:b/>
          <w:bCs/>
          <w:color w:val="333333"/>
          <w:sz w:val="26"/>
          <w:szCs w:val="26"/>
        </w:rPr>
        <w:t xml:space="preserve">5.1 Conclusions</w:t>
      </w:r>
    </w:p>
    <w:p>
      <w:pPr>
        <w:spacing w:after="80" w:before="80"/>
      </w:pPr>
      <w:r>
        <w:rPr>
          <w:rFonts w:ascii="Arial" w:cs="Arial" w:eastAsia="Arial" w:hAnsi="Arial"/>
          <w:color w:val="333333"/>
          <w:sz w:val="22"/>
          <w:szCs w:val="22"/>
        </w:rPr>
        <w:t xml:space="preserve">This analysis confirms that the NHS elective care backlog represents one of the most significant patient safety and operational challenges in the history of the health service. The key conclusions are:</w:t>
      </w:r>
    </w:p>
    <w:p>
      <w:pPr>
        <w:pStyle w:val="ListParagraph"/>
        <w:numPr>
          <w:ilvl w:val="0"/>
          <w:numId w:val="2"/>
        </w:numPr>
        <w:spacing w:after="40" w:before="40"/>
      </w:pPr>
      <w:r>
        <w:rPr>
          <w:rFonts w:ascii="Arial" w:cs="Arial" w:eastAsia="Arial" w:hAnsi="Arial"/>
          <w:color w:val="333333"/>
          <w:sz w:val="22"/>
          <w:szCs w:val="22"/>
        </w:rPr>
        <w:t xml:space="preserve">The 18-week constitutional standard has not been met at any point between September 2021 and February 2026, representing a persistent and deep failure to deliver a fundamental patient right</w:t>
      </w:r>
    </w:p>
    <w:p>
      <w:pPr>
        <w:pStyle w:val="ListParagraph"/>
        <w:numPr>
          <w:ilvl w:val="0"/>
          <w:numId w:val="2"/>
        </w:numPr>
        <w:spacing w:after="40" w:before="40"/>
      </w:pPr>
      <w:r>
        <w:rPr>
          <w:rFonts w:ascii="Arial" w:cs="Arial" w:eastAsia="Arial" w:hAnsi="Arial"/>
          <w:color w:val="333333"/>
          <w:sz w:val="22"/>
          <w:szCs w:val="22"/>
        </w:rPr>
        <w:t xml:space="preserve">The waiting list grew by 43% between September 2021 and its peak in mid-2024, driven by post-COVID demand, workforce pressures, and industrial action</w:t>
      </w:r>
    </w:p>
    <w:p>
      <w:pPr>
        <w:pStyle w:val="ListParagraph"/>
        <w:numPr>
          <w:ilvl w:val="0"/>
          <w:numId w:val="2"/>
        </w:numPr>
        <w:spacing w:after="40" w:before="40"/>
      </w:pPr>
      <w:r>
        <w:rPr>
          <w:rFonts w:ascii="Arial" w:cs="Arial" w:eastAsia="Arial" w:hAnsi="Arial"/>
          <w:color w:val="333333"/>
          <w:sz w:val="22"/>
          <w:szCs w:val="22"/>
        </w:rPr>
        <w:t xml:space="preserve">There are early signs of stabilisation and modest improvement from late 2024, particularly in the elimination of the longest (2-year+) waits</w:t>
      </w:r>
    </w:p>
    <w:p>
      <w:pPr>
        <w:pStyle w:val="ListParagraph"/>
        <w:numPr>
          <w:ilvl w:val="0"/>
          <w:numId w:val="2"/>
        </w:numPr>
        <w:spacing w:after="40" w:before="40"/>
      </w:pPr>
      <w:r>
        <w:rPr>
          <w:rFonts w:ascii="Arial" w:cs="Arial" w:eastAsia="Arial" w:hAnsi="Arial"/>
          <w:color w:val="333333"/>
          <w:sz w:val="22"/>
          <w:szCs w:val="22"/>
        </w:rPr>
        <w:t xml:space="preserve">The percentage of patients seen within 18 weeks is the most powerful predictor of overall system pressure, and should be treated as a leading indicator by NHS planners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5.2 Recommendations</w:t>
      </w:r>
    </w:p>
    <w:p>
      <w:pPr>
        <w:spacing w:after="80" w:before="80"/>
      </w:pPr>
      <w:r>
        <w:rPr>
          <w:rFonts w:ascii="Arial" w:cs="Arial" w:eastAsia="Arial" w:hAnsi="Arial"/>
          <w:color w:val="333333"/>
          <w:sz w:val="22"/>
          <w:szCs w:val="22"/>
        </w:rPr>
        <w:t xml:space="preserve">Based on the analysis, the following recommendations are offered for NHS planning and policy:</w:t>
      </w:r>
    </w:p>
    <w:p>
      <w:pPr>
        <w:pStyle w:val="ListParagraph"/>
        <w:numPr>
          <w:ilvl w:val="0"/>
          <w:numId w:val="2"/>
        </w:numPr>
        <w:spacing w:after="40" w:before="40"/>
      </w:pPr>
      <w:r>
        <w:rPr>
          <w:rFonts w:ascii="Arial" w:cs="Arial" w:eastAsia="Arial" w:hAnsi="Arial"/>
          <w:color w:val="333333"/>
          <w:sz w:val="22"/>
          <w:szCs w:val="22"/>
        </w:rPr>
        <w:t xml:space="preserve">Prioritise the 18–40 week cohort: The growing ‘middle’ cohort of patients in the 18–40 week bands represents the next wave of long waiters if not addressed proactively</w:t>
      </w:r>
    </w:p>
    <w:p>
      <w:pPr>
        <w:pStyle w:val="ListParagraph"/>
        <w:numPr>
          <w:ilvl w:val="0"/>
          <w:numId w:val="2"/>
        </w:numPr>
        <w:spacing w:after="40" w:before="40"/>
      </w:pPr>
      <w:r>
        <w:rPr>
          <w:rFonts w:ascii="Arial" w:cs="Arial" w:eastAsia="Arial" w:hAnsi="Arial"/>
          <w:color w:val="333333"/>
          <w:sz w:val="22"/>
          <w:szCs w:val="22"/>
        </w:rPr>
        <w:t xml:space="preserve">Monitor pct_within_18w as a leading indicator: Drops in this metric reliably precede waiting list growth and should trigger early intervention</w:t>
      </w:r>
    </w:p>
    <w:p>
      <w:pPr>
        <w:pStyle w:val="ListParagraph"/>
        <w:numPr>
          <w:ilvl w:val="0"/>
          <w:numId w:val="2"/>
        </w:numPr>
        <w:spacing w:after="40" w:before="40"/>
      </w:pPr>
      <w:r>
        <w:rPr>
          <w:rFonts w:ascii="Arial" w:cs="Arial" w:eastAsia="Arial" w:hAnsi="Arial"/>
          <w:color w:val="333333"/>
          <w:sz w:val="22"/>
          <w:szCs w:val="22"/>
        </w:rPr>
        <w:t xml:space="preserve">Invest in specialty-level analysis: National-level data masks significant variation by specialty and trust. Granular analysis would enable targeted resource allocation</w:t>
      </w:r>
    </w:p>
    <w:p>
      <w:pPr>
        <w:pStyle w:val="ListParagraph"/>
        <w:numPr>
          <w:ilvl w:val="0"/>
          <w:numId w:val="2"/>
        </w:numPr>
        <w:spacing w:after="40" w:before="40"/>
      </w:pPr>
      <w:r>
        <w:rPr>
          <w:rFonts w:ascii="Arial" w:cs="Arial" w:eastAsia="Arial" w:hAnsi="Arial"/>
          <w:color w:val="333333"/>
          <w:sz w:val="22"/>
          <w:szCs w:val="22"/>
        </w:rPr>
        <w:t xml:space="preserve">Build predictive capacity into NHS planning tools: Machine learning models, even simple linear ones, can add significant value to NHS capacity planning when integrated into operational dashboards</w:t>
      </w:r>
    </w:p>
    <w:p>
      <w:pPr>
        <w:spacing w:after="80" w:before="80"/>
      </w:pPr>
      <w:r>
        <w:t xml:space="preserve"/>
      </w:r>
    </w:p>
    <w:p>
      <w:pPr>
        <w:pStyle w:val="Heading1"/>
        <w:pBdr>
          <w:bottom w:val="single" w:color="003087" w:sz="6" w:space="1"/>
        </w:pBdr>
        <w:spacing w:after="120" w:before="360"/>
      </w:pPr>
      <w:r>
        <w:rPr>
          <w:rFonts w:ascii="Arial" w:cs="Arial" w:eastAsia="Arial" w:hAnsi="Arial"/>
          <w:b/>
          <w:bCs/>
          <w:color w:val="003087"/>
          <w:sz w:val="32"/>
          <w:szCs w:val="32"/>
        </w:rPr>
        <w:t xml:space="preserve">6. Methodology</w:t>
      </w:r>
    </w:p>
    <w:p>
      <w:pPr>
        <w:pStyle w:val="Heading2"/>
        <w:spacing w:after="80" w:before="240"/>
      </w:pPr>
      <w:r>
        <w:rPr>
          <w:rFonts w:ascii="Arial" w:cs="Arial" w:eastAsia="Arial" w:hAnsi="Arial"/>
          <w:b/>
          <w:bCs/>
          <w:color w:val="333333"/>
          <w:sz w:val="26"/>
          <w:szCs w:val="26"/>
        </w:rPr>
        <w:t xml:space="preserve">6.1 Tools &amp; Technologies</w:t>
      </w:r>
    </w:p>
    <w:p>
      <w:pPr>
        <w:spacing w:after="80" w:before="80"/>
      </w:pPr>
      <w:r>
        <w:rPr>
          <w:rFonts w:ascii="Arial" w:cs="Arial" w:eastAsia="Arial" w:hAnsi="Arial"/>
          <w:color w:val="333333"/>
          <w:sz w:val="22"/>
          <w:szCs w:val="22"/>
        </w:rPr>
        <w:t xml:space="preserve">This analysis was conducted entirely in Python using Google Colab. Libraries used:</w:t>
      </w:r>
    </w:p>
    <w:p>
      <w:pPr>
        <w:pStyle w:val="ListParagraph"/>
        <w:numPr>
          <w:ilvl w:val="0"/>
          <w:numId w:val="2"/>
        </w:numPr>
        <w:spacing w:after="40" w:before="40"/>
      </w:pPr>
      <w:r>
        <w:rPr>
          <w:rFonts w:ascii="Arial" w:cs="Arial" w:eastAsia="Arial" w:hAnsi="Arial"/>
          <w:color w:val="333333"/>
          <w:sz w:val="22"/>
          <w:szCs w:val="22"/>
        </w:rPr>
        <w:t xml:space="preserve">pandas — data loading, cleaning, and transformation</w:t>
      </w:r>
    </w:p>
    <w:p>
      <w:pPr>
        <w:pStyle w:val="ListParagraph"/>
        <w:numPr>
          <w:ilvl w:val="0"/>
          <w:numId w:val="2"/>
        </w:numPr>
        <w:spacing w:after="40" w:before="40"/>
      </w:pPr>
      <w:r>
        <w:rPr>
          <w:rFonts w:ascii="Arial" w:cs="Arial" w:eastAsia="Arial" w:hAnsi="Arial"/>
          <w:color w:val="333333"/>
          <w:sz w:val="22"/>
          <w:szCs w:val="22"/>
        </w:rPr>
        <w:t xml:space="preserve">matplotlib &amp; seaborn — static visualisations</w:t>
      </w:r>
    </w:p>
    <w:p>
      <w:pPr>
        <w:pStyle w:val="ListParagraph"/>
        <w:numPr>
          <w:ilvl w:val="0"/>
          <w:numId w:val="2"/>
        </w:numPr>
        <w:spacing w:after="40" w:before="40"/>
      </w:pPr>
      <w:r>
        <w:rPr>
          <w:rFonts w:ascii="Arial" w:cs="Arial" w:eastAsia="Arial" w:hAnsi="Arial"/>
          <w:color w:val="333333"/>
          <w:sz w:val="22"/>
          <w:szCs w:val="22"/>
        </w:rPr>
        <w:t xml:space="preserve">plotly — interactive dashboard</w:t>
      </w:r>
    </w:p>
    <w:p>
      <w:pPr>
        <w:pStyle w:val="ListParagraph"/>
        <w:numPr>
          <w:ilvl w:val="0"/>
          <w:numId w:val="2"/>
        </w:numPr>
        <w:spacing w:after="40" w:before="40"/>
      </w:pPr>
      <w:r>
        <w:rPr>
          <w:rFonts w:ascii="Arial" w:cs="Arial" w:eastAsia="Arial" w:hAnsi="Arial"/>
          <w:color w:val="333333"/>
          <w:sz w:val="22"/>
          <w:szCs w:val="22"/>
        </w:rPr>
        <w:t xml:space="preserve">scikit-learn — machine learning (Linear Regression, train/test split, evaluation metrics)</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6.2 Data Cleaning Steps</w:t>
      </w:r>
    </w:p>
    <w:p>
      <w:pPr>
        <w:spacing w:after="80" w:before="80"/>
      </w:pPr>
      <w:r>
        <w:rPr>
          <w:rFonts w:ascii="Arial" w:cs="Arial" w:eastAsia="Arial" w:hAnsi="Arial"/>
          <w:color w:val="333333"/>
          <w:sz w:val="22"/>
          <w:szCs w:val="22"/>
        </w:rPr>
        <w:t xml:space="preserve">The raw NHS Excel file required significant cleaning before analysis:</w:t>
      </w:r>
    </w:p>
    <w:p>
      <w:pPr>
        <w:pStyle w:val="ListParagraph"/>
        <w:numPr>
          <w:ilvl w:val="0"/>
          <w:numId w:val="2"/>
        </w:numPr>
        <w:spacing w:after="40" w:before="40"/>
      </w:pPr>
      <w:r>
        <w:rPr>
          <w:rFonts w:ascii="Arial" w:cs="Arial" w:eastAsia="Arial" w:hAnsi="Arial"/>
          <w:color w:val="333333"/>
          <w:sz w:val="22"/>
          <w:szCs w:val="22"/>
        </w:rPr>
        <w:t xml:space="preserve">Skipped 13 rows of metadata and NHS publication headers</w:t>
      </w:r>
    </w:p>
    <w:p>
      <w:pPr>
        <w:pStyle w:val="ListParagraph"/>
        <w:numPr>
          <w:ilvl w:val="0"/>
          <w:numId w:val="2"/>
        </w:numPr>
        <w:spacing w:after="40" w:before="40"/>
      </w:pPr>
      <w:r>
        <w:rPr>
          <w:rFonts w:ascii="Arial" w:cs="Arial" w:eastAsia="Arial" w:hAnsi="Arial"/>
          <w:color w:val="333333"/>
          <w:sz w:val="22"/>
          <w:szCs w:val="22"/>
        </w:rPr>
        <w:t xml:space="preserve">Manually assigned column names to replace mangled multi-level headers</w:t>
      </w:r>
    </w:p>
    <w:p>
      <w:pPr>
        <w:pStyle w:val="ListParagraph"/>
        <w:numPr>
          <w:ilvl w:val="0"/>
          <w:numId w:val="2"/>
        </w:numPr>
        <w:spacing w:after="40" w:before="40"/>
      </w:pPr>
      <w:r>
        <w:rPr>
          <w:rFonts w:ascii="Arial" w:cs="Arial" w:eastAsia="Arial" w:hAnsi="Arial"/>
          <w:color w:val="333333"/>
          <w:sz w:val="22"/>
          <w:szCs w:val="22"/>
        </w:rPr>
        <w:t xml:space="preserve">Removed footnote rows and disclaimer text embedded within the data range</w:t>
      </w:r>
    </w:p>
    <w:p>
      <w:pPr>
        <w:pStyle w:val="ListParagraph"/>
        <w:numPr>
          <w:ilvl w:val="0"/>
          <w:numId w:val="2"/>
        </w:numPr>
        <w:spacing w:after="40" w:before="40"/>
      </w:pPr>
      <w:r>
        <w:rPr>
          <w:rFonts w:ascii="Arial" w:cs="Arial" w:eastAsia="Arial" w:hAnsi="Arial"/>
          <w:color w:val="333333"/>
          <w:sz w:val="22"/>
          <w:szCs w:val="22"/>
        </w:rPr>
        <w:t xml:space="preserve">Converted date columns to datetime format and numeric columns using pd.to_numeric with error coercion</w:t>
      </w:r>
    </w:p>
    <w:p>
      <w:pPr>
        <w:pStyle w:val="ListParagraph"/>
        <w:numPr>
          <w:ilvl w:val="0"/>
          <w:numId w:val="2"/>
        </w:numPr>
        <w:spacing w:after="40" w:before="40"/>
      </w:pPr>
      <w:r>
        <w:rPr>
          <w:rFonts w:ascii="Arial" w:cs="Arial" w:eastAsia="Arial" w:hAnsi="Arial"/>
          <w:color w:val="333333"/>
          <w:sz w:val="22"/>
          <w:szCs w:val="22"/>
        </w:rPr>
        <w:t xml:space="preserve">Handled missing values by dropping incomplete rows before modelling</w:t>
      </w:r>
    </w:p>
    <w:p>
      <w:pPr>
        <w:spacing w:after="80" w:before="80"/>
      </w:pPr>
      <w:r>
        <w:t xml:space="preserve"/>
      </w:r>
    </w:p>
    <w:p>
      <w:pPr>
        <w:pStyle w:val="Heading2"/>
        <w:spacing w:after="80" w:before="240"/>
      </w:pPr>
      <w:r>
        <w:rPr>
          <w:rFonts w:ascii="Arial" w:cs="Arial" w:eastAsia="Arial" w:hAnsi="Arial"/>
          <w:b/>
          <w:bCs/>
          <w:color w:val="333333"/>
          <w:sz w:val="26"/>
          <w:szCs w:val="26"/>
        </w:rPr>
        <w:t xml:space="preserve">6.3 Analytical Approach</w:t>
      </w:r>
    </w:p>
    <w:p>
      <w:pPr>
        <w:spacing w:after="80" w:before="80"/>
      </w:pPr>
      <w:r>
        <w:rPr>
          <w:rFonts w:ascii="Arial" w:cs="Arial" w:eastAsia="Arial" w:hAnsi="Arial"/>
          <w:color w:val="333333"/>
          <w:sz w:val="22"/>
          <w:szCs w:val="22"/>
        </w:rPr>
        <w:t xml:space="preserve">The analysis followed a structured data science workflow: data ingestion → cleaning → exploratory data analysis → visualisation → feature engineering → predictive modelling → evaluation → reporting. A train/test split of 80/20 was used throughout, with random_state=42 for reproducibility.</w:t>
      </w:r>
    </w:p>
    <w:p>
      <w:pPr>
        <w:spacing w:after="80" w:before="80"/>
      </w:pPr>
      <w:r>
        <w:t xml:space="preserve"/>
      </w:r>
    </w:p>
    <w:p>
      <w:pPr>
        <w:pStyle w:val="Heading1"/>
        <w:pBdr>
          <w:bottom w:val="single" w:color="003087" w:sz="6" w:space="1"/>
        </w:pBdr>
        <w:spacing w:after="120" w:before="360"/>
      </w:pPr>
      <w:r>
        <w:rPr>
          <w:rFonts w:ascii="Arial" w:cs="Arial" w:eastAsia="Arial" w:hAnsi="Arial"/>
          <w:b/>
          <w:bCs/>
          <w:color w:val="003087"/>
          <w:sz w:val="32"/>
          <w:szCs w:val="32"/>
        </w:rPr>
        <w:t xml:space="preserve">7. About the Author</w:t>
      </w:r>
    </w:p>
    <w:p>
      <w:pPr>
        <w:spacing w:after="80" w:before="80"/>
      </w:pPr>
      <w:r>
        <w:rPr>
          <w:rFonts w:ascii="Arial" w:cs="Arial" w:eastAsia="Arial" w:hAnsi="Arial"/>
          <w:color w:val="333333"/>
          <w:sz w:val="22"/>
          <w:szCs w:val="22"/>
        </w:rPr>
        <w:t xml:space="preserve">This analysis was produced by Adeyemi Abodunrin, a data scientist and healthcare professional with experience spanning NHS healthcare delivery and applied machine learning. This project was developed as part of a portfolio of health data science work, demonstrating the application of Python-based analytics to real-world NHS operational data.</w:t>
      </w:r>
    </w:p>
    <w:p>
      <w:pPr>
        <w:spacing w:after="80" w:before="80"/>
      </w:pPr>
      <w:r>
        <w:t xml:space="preserve"/>
      </w:r>
    </w:p>
    <w:p>
      <w:pPr>
        <w:spacing w:after="80" w:before="80"/>
      </w:pPr>
      <w:r>
        <w:rPr>
          <w:rFonts w:ascii="Arial" w:cs="Arial" w:eastAsia="Arial" w:hAnsi="Arial"/>
          <w:color w:val="333333"/>
          <w:sz w:val="22"/>
          <w:szCs w:val="22"/>
        </w:rPr>
        <w:t xml:space="preserve">Contact: For queries regarding this analysis, please reach out via LinkedIn or GitHub.</w:t>
      </w:r>
    </w:p>
    <w:p>
      <w:pPr>
        <w:spacing w:after="80" w:before="80"/>
      </w:pPr>
      <w:r>
        <w:t xml:space="preserve"/>
      </w:r>
    </w:p>
    <w:p>
      <w:pPr>
        <w:spacing w:after="80" w:before="80"/>
      </w:pPr>
      <w:r>
        <w:t xml:space="preserve"/>
      </w:r>
    </w:p>
    <w:p>
      <w:pPr>
        <w:jc w:val="center"/>
      </w:pPr>
      <w:r>
        <w:rPr>
          <w:rFonts w:ascii="Arial" w:cs="Arial" w:eastAsia="Arial" w:hAnsi="Arial"/>
          <w:i/>
          <w:iCs/>
          <w:color w:val="888888"/>
          <w:sz w:val="20"/>
          <w:szCs w:val="20"/>
        </w:rPr>
        <w:t xml:space="preserve">--- End of Report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NHS RTT Waiting Time Analysis  |  Adeyemi Abodunrin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087"/>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2026-05-13T03:11:23.742Z</dcterms:created>
  <dcterms:modified xsi:type="dcterms:W3CDTF">2026-05-13T03:11:23.745Z</dcterms:modified>
</cp:coreProperties>
</file>

<file path=docProps/custom.xml><?xml version="1.0" encoding="utf-8"?>
<Properties xmlns="http://schemas.openxmlformats.org/officeDocument/2006/custom-properties" xmlns:vt="http://schemas.openxmlformats.org/officeDocument/2006/docPropsVTypes"/>
</file>