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Calibri" w:hAnsi="Calibri"/>
          <w:b/>
          <w:color w:val="2E74B5"/>
          <w:sz w:val="26"/>
        </w:rPr>
        <w:t>COGANA</w:t>
      </w:r>
      <w:r>
        <w:rPr>
          <w:rFonts w:ascii="Calibri" w:hAnsi="Calibri"/>
          <w:color w:val="666666"/>
          <w:sz w:val="20"/>
        </w:rPr>
        <w:br/>
        <w:t>Especificación técnica del producto</w:t>
      </w:r>
    </w:p>
    <w:p>
      <w:pPr>
        <w:pStyle w:val="Title"/>
      </w:pPr>
      <w:r>
        <w:t>Technical Requirements</w:t>
        <w:br/>
        <w:t>Document</w:t>
      </w:r>
    </w:p>
    <w:p>
      <w:pPr>
        <w:pStyle w:val="Subtitle"/>
      </w:pPr>
      <w:r>
        <w:t>Aplicación móvil offline-first para ventas, inventario, pedidos y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Detalle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Cogana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Documento relacionado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PRD Cogana v1.0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 — Borrador técnico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Fecha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 de julio de 2026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 de Cogana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Alcance inicial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Una tienda en Santa Anita; tres usuarios internos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Plataformas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Android operativo; Android/iPhone para clientes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Propósito</w:t>
              <w:br/>
            </w:r>
            <w:r>
              <w:t>Traducir el PRD de Cogana a decisiones de arquitectura, contratos de datos, requisitos de seguridad, sincronización, pruebas y operación que puedan implementarse y verificarse.</w:t>
            </w:r>
          </w:p>
        </w:tc>
      </w:tr>
    </w:tbl>
    <w:p/>
    <w:p>
      <w:pPr>
        <w:pStyle w:val="SmallNote"/>
      </w:pPr>
      <w:r>
        <w:t>Este documento define la solución objetivo y el estado conocido al momento de redactarlo. Los componentes descritos como “objetivo”, “previsto” o “futuro” no deben interpretarse como ya implementados.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1440"/>
        <w:gridCol w:w="5400"/>
      </w:tblGrid>
      <w:tr>
        <w:trPr>
          <w:tblHeader w:val="true"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Versión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Estado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Cambio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25/07/2026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Borrador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Arquitectura y requisitos técnicos iniciales.</w:t>
            </w:r>
          </w:p>
        </w:tc>
      </w:tr>
    </w:tbl>
    <w:p/>
    <w:p>
      <w:pPr>
        <w:pStyle w:val="Heading1"/>
      </w:pPr>
      <w:r>
        <w:t>Contenido</w:t>
      </w:r>
    </w:p>
    <w:p>
      <w:pPr>
        <w:spacing w:after="60"/>
      </w:pPr>
      <w:r>
        <w:t>1. Resumen técnico</w:t>
      </w:r>
    </w:p>
    <w:p>
      <w:pPr>
        <w:spacing w:after="60"/>
      </w:pPr>
      <w:r>
        <w:t>2. Alcance y principios de ingeniería</w:t>
      </w:r>
    </w:p>
    <w:p>
      <w:pPr>
        <w:spacing w:after="60"/>
      </w:pPr>
      <w:r>
        <w:t>3. Estado técnico actual</w:t>
      </w:r>
    </w:p>
    <w:p>
      <w:pPr>
        <w:spacing w:after="60"/>
      </w:pPr>
      <w:r>
        <w:t>4. Arquitectura objetivo</w:t>
      </w:r>
    </w:p>
    <w:p>
      <w:pPr>
        <w:spacing w:after="60"/>
      </w:pPr>
      <w:r>
        <w:t>5. Aplicación móvil</w:t>
      </w:r>
    </w:p>
    <w:p>
      <w:pPr>
        <w:spacing w:after="60"/>
      </w:pPr>
      <w:r>
        <w:t>6. Modelo de datos</w:t>
      </w:r>
    </w:p>
    <w:p>
      <w:pPr>
        <w:spacing w:after="60"/>
      </w:pPr>
      <w:r>
        <w:t>7. Transacciones e invariantes</w:t>
      </w:r>
    </w:p>
    <w:p>
      <w:pPr>
        <w:spacing w:after="60"/>
      </w:pPr>
      <w:r>
        <w:t>8. Sincronización offline-first</w:t>
      </w:r>
    </w:p>
    <w:p>
      <w:pPr>
        <w:spacing w:after="60"/>
      </w:pPr>
      <w:r>
        <w:t>9. Backend y contratos de API</w:t>
      </w:r>
    </w:p>
    <w:p>
      <w:pPr>
        <w:spacing w:after="60"/>
      </w:pPr>
      <w:r>
        <w:t>10. Identidad, autorización y seguridad</w:t>
      </w:r>
    </w:p>
    <w:p>
      <w:pPr>
        <w:spacing w:after="60"/>
      </w:pPr>
      <w:r>
        <w:t>11. Pagos, delivery e integraciones</w:t>
      </w:r>
    </w:p>
    <w:p>
      <w:pPr>
        <w:spacing w:after="60"/>
      </w:pPr>
      <w:r>
        <w:t>12. Requisitos no funcionales</w:t>
      </w:r>
    </w:p>
    <w:p>
      <w:pPr>
        <w:spacing w:after="60"/>
      </w:pPr>
      <w:r>
        <w:t>13. Pruebas y aseguramiento de calidad</w:t>
      </w:r>
    </w:p>
    <w:p>
      <w:pPr>
        <w:spacing w:after="60"/>
      </w:pPr>
      <w:r>
        <w:t>14. Entornos, CI/CD y publicación</w:t>
      </w:r>
    </w:p>
    <w:p>
      <w:pPr>
        <w:spacing w:after="60"/>
      </w:pPr>
      <w:r>
        <w:t>15. Observabilidad, respaldo y recuperación</w:t>
      </w:r>
    </w:p>
    <w:p>
      <w:pPr>
        <w:spacing w:after="60"/>
      </w:pPr>
      <w:r>
        <w:t>16. Criterios de aceptación técnica</w:t>
      </w:r>
    </w:p>
    <w:p>
      <w:pPr>
        <w:spacing w:after="60"/>
      </w:pPr>
      <w:r>
        <w:t>17. Plan de implementación</w:t>
      </w:r>
    </w:p>
    <w:p>
      <w:pPr>
        <w:spacing w:after="60"/>
      </w:pPr>
      <w:r>
        <w:t>18. Riesgos y decisiones abiertas</w:t>
      </w:r>
    </w:p>
    <w:p>
      <w:pPr>
        <w:pStyle w:val="Heading1"/>
      </w:pPr>
      <w:r>
        <w:t>1. Resumen técnico</w:t>
      </w:r>
    </w:p>
    <w:p>
      <w:r>
        <w:t>Cogana se implementará como una aplicación móvil multiplataforma construida con React Native, Expo y TypeScript. La operación de tienda será offline-first: cada dispositivo autorizado contará con una base SQLite local y podrá completar ventas, caja, inventario y cambios de precio sin conexión.</w:t>
      </w:r>
    </w:p>
    <w:p>
      <w:r>
        <w:t>Supabase con PostgreSQL será el backend central y la fuente de verdad compartida. Gestionará identidad, permisos, datos consolidados, pedidos online, almacenamiento de archivos y funciones de servidor. La sincronización se realizará mediante una cola outbox, identificadores únicos e idempotencia para evitar operaciones duplicadas.</w:t>
      </w:r>
    </w:p>
    <w:p>
      <w:r>
        <w:t>La arquitectura separará dominio, persistencia e interfaz. La lógica monetaria y de cantidades se ejecutará con enteros: céntimos para dinero, gramos para productos pesables y unidades enteras para productos contables.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Decisión central</w:t>
              <w:br/>
            </w:r>
            <w:r>
              <w:t>SQLite y PostgreSQL no son alternativas excluyentes. SQLite mantiene la tienda operativa sin internet; PostgreSQL unifica dispositivos, clientes, pedidos y futuras sucursales.</w:t>
            </w:r>
          </w:p>
        </w:tc>
      </w:tr>
    </w:tbl>
    <w:p/>
    <w:p>
      <w:pPr>
        <w:pStyle w:val="Heading1"/>
      </w:pPr>
      <w:r>
        <w:t>2. Alcance y principios de ingeniería</w:t>
      </w:r>
    </w:p>
    <w:p>
      <w:pPr>
        <w:pStyle w:val="Heading2"/>
      </w:pPr>
      <w:r>
        <w:t>2.1 Incluido en la base técnica</w:t>
      </w:r>
    </w:p>
    <w:p>
      <w:pPr>
        <w:pStyle w:val="ListBullet"/>
      </w:pPr>
      <w:r>
        <w:t>Aplicación móvil Expo/React Native con TypeScript y navegación por Expo Router.</w:t>
      </w:r>
    </w:p>
    <w:p>
      <w:pPr>
        <w:pStyle w:val="ListBullet"/>
      </w:pPr>
      <w:r>
        <w:t>Persistencia local SQLite versionada mediante migraciones.</w:t>
      </w:r>
    </w:p>
    <w:p>
      <w:pPr>
        <w:pStyle w:val="ListBullet"/>
      </w:pPr>
      <w:r>
        <w:t>Repositorios para productos, presentaciones, precios, inventario, ventas, pagos y caja.</w:t>
      </w:r>
    </w:p>
    <w:p>
      <w:pPr>
        <w:pStyle w:val="ListBullet"/>
      </w:pPr>
      <w:r>
        <w:t>Backend Supabase/PostgreSQL, autenticación, RLS, almacenamiento y funciones.</w:t>
      </w:r>
    </w:p>
    <w:p>
      <w:pPr>
        <w:pStyle w:val="ListBullet"/>
      </w:pPr>
      <w:r>
        <w:t>Protocolo de sincronización incremental, reintentos, idempotencia y resolución de conflictos.</w:t>
      </w:r>
    </w:p>
    <w:p>
      <w:pPr>
        <w:pStyle w:val="ListBullet"/>
      </w:pPr>
      <w:r>
        <w:t>Automatización de pruebas, compilación Android/iOS y despliegue por ambientes.</w:t>
      </w:r>
    </w:p>
    <w:p>
      <w:pPr>
        <w:pStyle w:val="Heading2"/>
      </w:pPr>
      <w:r>
        <w:t>2.2 Principios obligatorios</w:t>
      </w:r>
    </w:p>
    <w:p>
      <w:pPr>
        <w:keepLines/>
      </w:pPr>
      <w:r>
        <w:rPr>
          <w:rFonts w:ascii="Calibri" w:hAnsi="Calibri"/>
          <w:b/>
        </w:rPr>
        <w:t xml:space="preserve">PT-001 — Offline-first. </w:t>
      </w:r>
      <w:r>
        <w:t>La falta de internet no bloqueará una venta presencial ni el cierre de caja local.</w:t>
      </w:r>
    </w:p>
    <w:p>
      <w:pPr>
        <w:keepLines/>
      </w:pPr>
      <w:r>
        <w:rPr>
          <w:rFonts w:ascii="Calibri" w:hAnsi="Calibri"/>
          <w:b/>
        </w:rPr>
        <w:t xml:space="preserve">PT-002 — Integridad antes que velocidad. </w:t>
      </w:r>
      <w:r>
        <w:t>Venta, pago, inventario y caja se confirmarán de manera atómica.</w:t>
      </w:r>
    </w:p>
    <w:p>
      <w:pPr>
        <w:keepLines/>
      </w:pPr>
      <w:r>
        <w:rPr>
          <w:rFonts w:ascii="Calibri" w:hAnsi="Calibri"/>
          <w:b/>
        </w:rPr>
        <w:t xml:space="preserve">PT-003 — Servidor como autoridad compartida. </w:t>
      </w:r>
      <w:r>
        <w:t>El backend central determinará el estado consolidado entre dispositivos.</w:t>
      </w:r>
    </w:p>
    <w:p>
      <w:pPr>
        <w:keepLines/>
      </w:pPr>
      <w:r>
        <w:rPr>
          <w:rFonts w:ascii="Calibri" w:hAnsi="Calibri"/>
          <w:b/>
        </w:rPr>
        <w:t xml:space="preserve">PT-004 — Idempotencia. </w:t>
      </w:r>
      <w:r>
        <w:t>Toda escritura remota podrá repetirse sin duplicar efectos.</w:t>
      </w:r>
    </w:p>
    <w:p>
      <w:pPr>
        <w:keepLines/>
      </w:pPr>
      <w:r>
        <w:rPr>
          <w:rFonts w:ascii="Calibri" w:hAnsi="Calibri"/>
          <w:b/>
        </w:rPr>
        <w:t xml:space="preserve">PT-005 — Trazabilidad. </w:t>
      </w:r>
      <w:r>
        <w:t>Las operaciones críticas incluirán tienda, actor, dispositivo y marcas de tiempo.</w:t>
      </w:r>
    </w:p>
    <w:p>
      <w:pPr>
        <w:keepLines/>
      </w:pPr>
      <w:r>
        <w:rPr>
          <w:rFonts w:ascii="Calibri" w:hAnsi="Calibri"/>
          <w:b/>
        </w:rPr>
        <w:t xml:space="preserve">PT-006 — Evolución compatible. </w:t>
      </w:r>
      <w:r>
        <w:t>Las migraciones preservarán datos y soportarán actualizaciones de instalaciones existentes.</w:t>
      </w:r>
    </w:p>
    <w:p>
      <w:pPr>
        <w:keepLines/>
      </w:pPr>
      <w:r>
        <w:rPr>
          <w:rFonts w:ascii="Calibri" w:hAnsi="Calibri"/>
          <w:b/>
        </w:rPr>
        <w:t xml:space="preserve">PT-007 — Mínimo privilegio. </w:t>
      </w:r>
      <w:r>
        <w:t>Cada rol, cliente y servicio tendrá solo los permisos necesarios.</w:t>
      </w:r>
    </w:p>
    <w:p>
      <w:pPr>
        <w:pStyle w:val="Heading1"/>
      </w:pPr>
      <w:r>
        <w:t>3. Estado técnico actual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0"/>
        <w:gridCol w:w="2880"/>
        <w:gridCol w:w="4500"/>
      </w:tblGrid>
      <w:tr>
        <w:trPr>
          <w:tblHeader w:val="true"/>
        </w:trPr>
        <w:tc>
          <w:tcPr>
            <w:tcW w:type="dxa" w:w="1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Área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Estado reportado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Observación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Base móvil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Implementada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Expo SDK 54.0.36, TypeScript y Android bundle válido.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SQLite local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Implementada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expo-sqlite 16.0.10, migraciones y repositorios.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Implementado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gram/unit, presentaciones, costo e historial de precio.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 y caja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Implementado sin commit en el último reporte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21/21 pruebas reportadas como correctas.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Preparado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Tabla lista; validación todavía pendiente.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Backend Supabase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Esquema central, Auth, RLS y sync por implementar.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Retail, B2B y delivery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Fases posteriores al núcleo interno.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Control de cambios</w:t>
              <w:br/>
            </w:r>
            <w:r>
              <w:t>Antes de continuar con sincronización, el equipo debe probar manualmente ventas/caja, revisar el diff y crear un commit estable. El TRD no reemplaza esa validación.</w:t>
            </w:r>
          </w:p>
        </w:tc>
      </w:tr>
    </w:tbl>
    <w:p/>
    <w:p>
      <w:pPr>
        <w:pStyle w:val="Heading1"/>
      </w:pPr>
      <w:r>
        <w:t>4. Arquitectura objetivo</w:t>
      </w:r>
    </w:p>
    <w:p>
      <w:pPr>
        <w:pStyle w:val="Heading2"/>
      </w:pPr>
      <w:r>
        <w:t>4.1 Componentes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Capa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Responsabilidad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Tecnología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Interfaz móvil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Pantallas por rol, navegación, formularios y estados.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React Native + Expo Router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Dominio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Precios, cantidades, caja, stock, permisos y validaciones.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TypeScript puro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Persistencia local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 offline, migraciones, transacciones y outbox.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expo-sqlite / SQLite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Sincronización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Push/pull, reintentos, versiones y conflictos.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Servicio TypeScript + Functions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Backend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Fuente de verdad, APIs, Auth, RLS y eventos.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Supabase / PostgreSQL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Archivos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Fotos, comprobantes y evidencias de entrega.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Supabase Storage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Integraciones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Pagos, mapas, SUNAT y delivery externo.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Adaptadores por proveedor</w:t>
            </w:r>
          </w:p>
        </w:tc>
      </w:tr>
    </w:tbl>
    <w:p/>
    <w:p>
      <w:pPr>
        <w:pStyle w:val="Heading2"/>
      </w:pPr>
      <w:r>
        <w:t>4.2 Flujo lógico</w:t>
      </w:r>
    </w:p>
    <w:p>
      <w:pPr>
        <w:pStyle w:val="ListNumber"/>
      </w:pPr>
      <w:r>
        <w:t>La interfaz invoca un caso de uso del dominio.</w:t>
      </w:r>
    </w:p>
    <w:p>
      <w:pPr>
        <w:pStyle w:val="ListNumber"/>
      </w:pPr>
      <w:r>
        <w:t>El dominio valida cantidades, dinero, permisos e invariantes.</w:t>
      </w:r>
    </w:p>
    <w:p>
      <w:pPr>
        <w:pStyle w:val="ListNumber"/>
      </w:pPr>
      <w:r>
        <w:t>El repositorio ejecuta una transacción SQLite y agrega una operación a outbox.</w:t>
      </w:r>
    </w:p>
    <w:p>
      <w:pPr>
        <w:pStyle w:val="ListNumber"/>
      </w:pPr>
      <w:r>
        <w:t>La interfaz recibe el estado local confirmado inmediatamente.</w:t>
      </w:r>
    </w:p>
    <w:p>
      <w:pPr>
        <w:pStyle w:val="ListNumber"/>
      </w:pPr>
      <w:r>
        <w:t>El sincronizador envía la operación cuando hay conectividad.</w:t>
      </w:r>
    </w:p>
    <w:p>
      <w:pPr>
        <w:pStyle w:val="ListNumber"/>
      </w:pPr>
      <w:r>
        <w:t>El backend valida identidad, RLS e idempotencia y confirma la versión central.</w:t>
      </w:r>
    </w:p>
    <w:p>
      <w:pPr>
        <w:pStyle w:val="ListNumber"/>
      </w:pPr>
      <w:r>
        <w:t>El dispositivo descarga cambios remotos y actualiza su caché local.</w:t>
      </w:r>
    </w:p>
    <w:p>
      <w:pPr>
        <w:pStyle w:val="Heading2"/>
      </w:pPr>
      <w:r>
        <w:t>4.3 Límites de confianza</w:t>
      </w:r>
    </w:p>
    <w:p>
      <w:pPr>
        <w:pStyle w:val="ListBullet"/>
      </w:pPr>
      <w:r>
        <w:t>El cliente móvil nunca tendrá credenciales de servicio administrativo de Supabase.</w:t>
      </w:r>
    </w:p>
    <w:p>
      <w:pPr>
        <w:pStyle w:val="ListBullet"/>
      </w:pPr>
      <w:r>
        <w:t>La validación local mejora la experiencia, pero el servidor volverá a validar toda escritura remota.</w:t>
      </w:r>
    </w:p>
    <w:p>
      <w:pPr>
        <w:pStyle w:val="ListBullet"/>
      </w:pPr>
      <w:r>
        <w:t>Los proveedores externos se accederán mediante funciones de servidor cuando requieran secretos.</w:t>
      </w:r>
    </w:p>
    <w:p>
      <w:pPr>
        <w:pStyle w:val="ListBullet"/>
      </w:pPr>
      <w:r>
        <w:t>Los datos locales se consideran sensibles y deben limitarse al dispositivo autorizado.</w:t>
      </w:r>
    </w:p>
    <w:p>
      <w:pPr>
        <w:pStyle w:val="Heading1"/>
      </w:pPr>
      <w:r>
        <w:t>5. Aplicación móvil</w:t>
      </w:r>
    </w:p>
    <w:p>
      <w:pPr>
        <w:pStyle w:val="Heading2"/>
      </w:pPr>
      <w:r>
        <w:t>5.1 Plataforma y dependencias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Elemento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Requisito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Lenguaje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TypeScript estricto; evitar any salvo excepción documentada.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Framework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React Native administrado por Expo.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SDK actual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Expo SDK 54.0.36 hasta una actualización planificada y probada.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Navegación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Expo Router con rutas separadas por rol y dominio.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Base local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expo-sqlite 16.0.10.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Gestión de estado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Context/hooks para alcance limitado; evaluar store dedicado al crecer.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Gestor de paquetes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npm con package-lock.json versionado.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Desarrollo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Node.js 22 disponible; CI usará versión LTS fijada y compatible.</w:t>
            </w:r>
          </w:p>
        </w:tc>
      </w:tr>
    </w:tbl>
    <w:p/>
    <w:p>
      <w:pPr>
        <w:pStyle w:val="Heading2"/>
      </w:pPr>
      <w:r>
        <w:t>5.2 Organización recomendada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app/                  rutas y layouts</w:t>
        <w:br/>
        <w:t>components/           componentes reutilizables</w:t>
        <w:br/>
        <w:t>features/             módulos por dominio</w:t>
        <w:br/>
        <w:t>database/             migraciones, modelos y repositorios</w:t>
        <w:br/>
        <w:t>domain/               reglas y casos de uso sin UI</w:t>
        <w:br/>
        <w:t>sync/                 outbox, push, pull y conflictos</w:t>
        <w:br/>
        <w:t>services/             Auth, Storage e integraciones</w:t>
        <w:br/>
        <w:t>tests/                pruebas unitarias e integración</w:t>
        <w:br/>
        <w:t>docs/                 PRD, TRD, modelo de datos y ADR</w:t>
      </w:r>
    </w:p>
    <w:p>
      <w:pPr>
        <w:pStyle w:val="Heading2"/>
      </w:pPr>
      <w:r>
        <w:t>5.3 Requisitos de implementación</w:t>
      </w:r>
    </w:p>
    <w:p>
      <w:pPr>
        <w:keepLines/>
      </w:pPr>
      <w:r>
        <w:rPr>
          <w:rFonts w:ascii="Calibri" w:hAnsi="Calibri"/>
          <w:b/>
        </w:rPr>
        <w:t xml:space="preserve">TM-001 — Separación de dominio. </w:t>
      </w:r>
      <w:r>
        <w:t>Los cálculos de precio, conversión y caja no dependerán de componentes React.</w:t>
      </w:r>
    </w:p>
    <w:p>
      <w:pPr>
        <w:keepLines/>
      </w:pPr>
      <w:r>
        <w:rPr>
          <w:rFonts w:ascii="Calibri" w:hAnsi="Calibri"/>
          <w:b/>
        </w:rPr>
        <w:t xml:space="preserve">TM-002 — Repositorios. </w:t>
      </w:r>
      <w:r>
        <w:t>Las pantallas no ejecutarán SQL ni crearán tablas directamente.</w:t>
      </w:r>
    </w:p>
    <w:p>
      <w:pPr>
        <w:keepLines/>
      </w:pPr>
      <w:r>
        <w:rPr>
          <w:rFonts w:ascii="Calibri" w:hAnsi="Calibri"/>
          <w:b/>
        </w:rPr>
        <w:t xml:space="preserve">TM-003 — Migraciones. </w:t>
      </w:r>
      <w:r>
        <w:t>La base se abrirá mediante un proveedor único que ejecute migraciones en orden.</w:t>
      </w:r>
    </w:p>
    <w:p>
      <w:pPr>
        <w:keepLines/>
      </w:pPr>
      <w:r>
        <w:rPr>
          <w:rFonts w:ascii="Calibri" w:hAnsi="Calibri"/>
          <w:b/>
        </w:rPr>
        <w:t xml:space="preserve">TM-004 — Errores. </w:t>
      </w:r>
      <w:r>
        <w:t>Los errores de dominio tendrán códigos estables y mensajes traducibles para la interfaz.</w:t>
      </w:r>
    </w:p>
    <w:p>
      <w:pPr>
        <w:keepLines/>
      </w:pPr>
      <w:r>
        <w:rPr>
          <w:rFonts w:ascii="Calibri" w:hAnsi="Calibri"/>
          <w:b/>
        </w:rPr>
        <w:t xml:space="preserve">TM-005 — Formularios. </w:t>
      </w:r>
      <w:r>
        <w:t>Los datos se validarán antes de iniciar una transacción.</w:t>
      </w:r>
    </w:p>
    <w:p>
      <w:pPr>
        <w:keepLines/>
      </w:pPr>
      <w:r>
        <w:rPr>
          <w:rFonts w:ascii="Calibri" w:hAnsi="Calibri"/>
          <w:b/>
        </w:rPr>
        <w:t xml:space="preserve">TM-006 — Fechas. </w:t>
      </w:r>
      <w:r>
        <w:t>Se almacenarán en UTC/ISO 8601; la interfaz mostrará zona America/Lima.</w:t>
      </w:r>
    </w:p>
    <w:p>
      <w:pPr>
        <w:keepLines/>
      </w:pPr>
      <w:r>
        <w:rPr>
          <w:rFonts w:ascii="Calibri" w:hAnsi="Calibri"/>
          <w:b/>
        </w:rPr>
        <w:t xml:space="preserve">TM-007 — Accesibilidad. </w:t>
      </w:r>
      <w:r>
        <w:t>Botones, campos, contraste y mensajes cumplirán criterios móviles básicos.</w:t>
      </w:r>
    </w:p>
    <w:p>
      <w:pPr>
        <w:pStyle w:val="Heading1"/>
      </w:pPr>
      <w:r>
        <w:t>6. Modelo de datos</w:t>
      </w:r>
    </w:p>
    <w:p>
      <w:pPr>
        <w:pStyle w:val="Heading2"/>
      </w:pPr>
      <w:r>
        <w:t>6.1 Convenciones</w:t>
      </w:r>
    </w:p>
    <w:p>
      <w:pPr>
        <w:pStyle w:val="ListBullet"/>
      </w:pPr>
      <w:r>
        <w:t>Identificadores UUID generados antes de sincronizar.</w:t>
      </w:r>
    </w:p>
    <w:p>
      <w:pPr>
        <w:pStyle w:val="ListBullet"/>
      </w:pPr>
      <w:r>
        <w:t>Dinero en INTEGER de céntimos; nunca REAL/float.</w:t>
      </w:r>
    </w:p>
    <w:p>
      <w:pPr>
        <w:pStyle w:val="ListBullet"/>
      </w:pPr>
      <w:r>
        <w:t>Productos pesables en gramos enteros; productos contables en unidades enteras.</w:t>
      </w:r>
    </w:p>
    <w:p>
      <w:pPr>
        <w:pStyle w:val="ListBullet"/>
      </w:pPr>
      <w:r>
        <w:t>Campos store_id, created_at, updated_at, actor_user_id y device_id cuando aplique.</w:t>
      </w:r>
    </w:p>
    <w:p>
      <w:pPr>
        <w:pStyle w:val="ListBullet"/>
      </w:pPr>
      <w:r>
        <w:t>Estados como valores controlados con validación en dominio y restricciones en base.</w:t>
      </w:r>
    </w:p>
    <w:p>
      <w:pPr>
        <w:pStyle w:val="ListBullet"/>
      </w:pPr>
      <w:r>
        <w:t>Borrado lógico para registros comerciales configurables; históricos críticos inmutables.</w:t>
      </w:r>
    </w:p>
    <w:p>
      <w:pPr>
        <w:pStyle w:val="Heading2"/>
      </w:pPr>
      <w:r>
        <w:t>6.2 Entidades locales obligatorias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780"/>
        <w:gridCol w:w="306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Entidad</w:t>
            </w:r>
          </w:p>
        </w:tc>
        <w:tc>
          <w:tcPr>
            <w:tcW w:type="dxa" w:w="3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Finalidad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Claves/restricciones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 y saldo local.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 UUID; SKU único por tienda; base_unit gram|unit.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product_presentations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Unidad, paquete, caja o saco.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factor &gt; 0; precio calculado o fijo.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price_history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Auditoría de precios.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Producto, valor anterior/nuevo, actor y fecha.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inventory_movements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Entradas y salidas trazables.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quantity_delta ≠ 0; saldo no negativo.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cash_sessions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Apertura y cierre.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Una sesión abierta válida por contexto.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cash_movements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Entradas/salidas de efectivo.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Monto positivo; tipo controlado.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sales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Cabecera de venta.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Total ≥ 0; estado controlado; operación UUID.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sale_items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Detalle congelado de la venta.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Cantidad, precio y total históricos.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payments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Pagos asociados.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Suma compatible con total según estado.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outbox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Cola de sincronización.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operation_id único; estado y reintentos.</w:t>
            </w:r>
          </w:p>
        </w:tc>
      </w:tr>
    </w:tbl>
    <w:p/>
    <w:p>
      <w:pPr>
        <w:pStyle w:val="Heading2"/>
      </w:pPr>
      <w:r>
        <w:t>6.3 Entidades centrales adicionales</w:t>
      </w:r>
    </w:p>
    <w:p>
      <w:r>
        <w:t>stores, users/profiles, roles, user_store_memberships, devices, customers, customer_addresses, restaurant_profiles, orders, order_items, deliveries, delivery_zones, sync_operations, attachments y tablas de configuración.</w:t>
      </w:r>
    </w:p>
    <w:p>
      <w:pPr>
        <w:pStyle w:val="Heading2"/>
      </w:pPr>
      <w:r>
        <w:t>6.4 Índices mínimos</w:t>
      </w:r>
    </w:p>
    <w:p>
      <w:pPr>
        <w:pStyle w:val="ListBullet"/>
      </w:pPr>
      <w:r>
        <w:t>Productos por store_id, sku, nombre normalizado, categoría y activo.</w:t>
      </w:r>
    </w:p>
    <w:p>
      <w:pPr>
        <w:pStyle w:val="ListBullet"/>
      </w:pPr>
      <w:r>
        <w:t>Movimientos por product_id + created_at y store_id + created_at.</w:t>
      </w:r>
    </w:p>
    <w:p>
      <w:pPr>
        <w:pStyle w:val="ListBullet"/>
      </w:pPr>
      <w:r>
        <w:t>Ventas y pagos por store_id + fecha, sesión de caja y estado.</w:t>
      </w:r>
    </w:p>
    <w:p>
      <w:pPr>
        <w:pStyle w:val="ListBullet"/>
      </w:pPr>
      <w:r>
        <w:t>Outbox por status + next_attempt_at y operation_id único.</w:t>
      </w:r>
    </w:p>
    <w:p>
      <w:pPr>
        <w:pStyle w:val="ListBullet"/>
      </w:pPr>
      <w:r>
        <w:t>Pedidos por cliente, tienda, estado y fecha de creación.</w:t>
      </w:r>
    </w:p>
    <w:p>
      <w:pPr>
        <w:pStyle w:val="Heading1"/>
      </w:pPr>
      <w:r>
        <w:t>7. Transacciones e invariantes</w:t>
      </w:r>
    </w:p>
    <w:p>
      <w:pPr>
        <w:pStyle w:val="Heading2"/>
      </w:pPr>
      <w:r>
        <w:t>7.1 Confirmación de venta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BEGIN IMMEDIATE</w:t>
        <w:br/>
        <w:t xml:space="preserve">  validar caja y stock</w:t>
        <w:br/>
        <w:t xml:space="preserve">  insertar sale + sale_items</w:t>
        <w:br/>
        <w:t xml:space="preserve">  insertar payment(s)</w:t>
        <w:br/>
        <w:t xml:space="preserve">  insertar inventory_movements</w:t>
        <w:br/>
        <w:t xml:space="preserve">  actualizar stock local</w:t>
        <w:br/>
        <w:t xml:space="preserve">  insertar cash_movement si corresponde</w:t>
        <w:br/>
        <w:t xml:space="preserve">  insertar outbox(operation_id)</w:t>
        <w:br/>
        <w:t>COMMIT</w:t>
      </w:r>
    </w:p>
    <w:p>
      <w:pPr>
        <w:keepLines/>
      </w:pPr>
      <w:r>
        <w:rPr>
          <w:rFonts w:ascii="Calibri" w:hAnsi="Calibri"/>
          <w:b/>
        </w:rPr>
        <w:t xml:space="preserve">TX-001 — Atomicidad. </w:t>
      </w:r>
      <w:r>
        <w:t>Si una operación falla, ninguna parte de la venta quedará guardada.</w:t>
      </w:r>
    </w:p>
    <w:p>
      <w:pPr>
        <w:keepLines/>
      </w:pPr>
      <w:r>
        <w:rPr>
          <w:rFonts w:ascii="Calibri" w:hAnsi="Calibri"/>
          <w:b/>
        </w:rPr>
        <w:t xml:space="preserve">TX-002 — Stock. </w:t>
      </w:r>
      <w:r>
        <w:t>La actualización verificará el saldo dentro de la misma transacción.</w:t>
      </w:r>
    </w:p>
    <w:p>
      <w:pPr>
        <w:keepLines/>
      </w:pPr>
      <w:r>
        <w:rPr>
          <w:rFonts w:ascii="Calibri" w:hAnsi="Calibri"/>
          <w:b/>
        </w:rPr>
        <w:t xml:space="preserve">TX-003 — Histórico. </w:t>
      </w:r>
      <w:r>
        <w:t>Los artículos guardarán nombre, unidad, cantidad y precio usados en ese momento.</w:t>
      </w:r>
    </w:p>
    <w:p>
      <w:pPr>
        <w:keepLines/>
      </w:pPr>
      <w:r>
        <w:rPr>
          <w:rFonts w:ascii="Calibri" w:hAnsi="Calibri"/>
          <w:b/>
        </w:rPr>
        <w:t xml:space="preserve">TX-004 — Caja. </w:t>
      </w:r>
      <w:r>
        <w:t>El efectivo afectará la sesión abierta; Yape, Plin y tarjeta no aumentarán efectivo esperado.</w:t>
      </w:r>
    </w:p>
    <w:p>
      <w:pPr>
        <w:keepLines/>
      </w:pPr>
      <w:r>
        <w:rPr>
          <w:rFonts w:ascii="Calibri" w:hAnsi="Calibri"/>
          <w:b/>
        </w:rPr>
        <w:t xml:space="preserve">TX-005 — Repetición. </w:t>
      </w:r>
      <w:r>
        <w:t>El operation_id impedirá confirmar dos veces la misma venta.</w:t>
      </w:r>
    </w:p>
    <w:p>
      <w:pPr>
        <w:pStyle w:val="Heading2"/>
      </w:pPr>
      <w:r>
        <w:t>7.2 Redondeo y conversión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line_total_cents = round(quantity * price_cents / pricing_quantity)</w:t>
        <w:br/>
        <w:t>presentation_quantity = presentation_count * conversion_factor</w:t>
        <w:br/>
        <w:t>sale_total_cents = sum(line_total_cents) - discounts + charges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Decisión pendiente del negocio</w:t>
              <w:br/>
            </w:r>
            <w:r>
              <w:t>La fórmula técnica admite redondeo al céntimo más cercano, pero debe validarse la política comercial para peso real, tolerancias y diferencias en pedidos online.</w:t>
            </w:r>
          </w:p>
        </w:tc>
      </w:tr>
    </w:tbl>
    <w:p/>
    <w:p>
      <w:pPr>
        <w:pStyle w:val="Heading1"/>
      </w:pPr>
      <w:r>
        <w:t>8. Sincronización offline-first</w:t>
      </w:r>
    </w:p>
    <w:p>
      <w:pPr>
        <w:pStyle w:val="Heading2"/>
      </w:pPr>
      <w:r>
        <w:t>8.1 Registro outbox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Requisito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operation_id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UUID único y estable durante todos los reintentos.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aggregate_type/id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Entidad afectada, por ejemplo sale o product.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operation_type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create, update, compensate o domain_event.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payload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 del esquema y datos necesarios; sin secretos.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base_version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 central conocida al originar el cambio.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pending, sending, acknowledged o failed.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attempt_count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Número de intentos realizados.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next_attempt_at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Siguiente reintento con backoff.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last_error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Código diagnóstico sanitizado.</w:t>
            </w:r>
          </w:p>
        </w:tc>
      </w:tr>
    </w:tbl>
    <w:p/>
    <w:p>
      <w:pPr>
        <w:pStyle w:val="Heading2"/>
      </w:pPr>
      <w:r>
        <w:t>8.2 Protocolo push</w:t>
      </w:r>
    </w:p>
    <w:p>
      <w:pPr>
        <w:pStyle w:val="ListNumber"/>
      </w:pPr>
      <w:r>
        <w:t>Seleccionar un lote pequeño de operaciones pendientes en orden.</w:t>
      </w:r>
    </w:p>
    <w:p>
      <w:pPr>
        <w:pStyle w:val="ListNumber"/>
      </w:pPr>
      <w:r>
        <w:t>Marcar el lote como sending dentro de una transacción local.</w:t>
      </w:r>
    </w:p>
    <w:p>
      <w:pPr>
        <w:pStyle w:val="ListNumber"/>
      </w:pPr>
      <w:r>
        <w:t>Enviar access token, device_id, tienda y operaciones.</w:t>
      </w:r>
    </w:p>
    <w:p>
      <w:pPr>
        <w:pStyle w:val="ListNumber"/>
      </w:pPr>
      <w:r>
        <w:t>El servidor valida RLS, esquema, versión e idempotencia.</w:t>
      </w:r>
    </w:p>
    <w:p>
      <w:pPr>
        <w:pStyle w:val="ListNumber"/>
      </w:pPr>
      <w:r>
        <w:t>El servidor aplica cada operación transaccionalmente y devuelve resultado individual.</w:t>
      </w:r>
    </w:p>
    <w:p>
      <w:pPr>
        <w:pStyle w:val="ListNumber"/>
      </w:pPr>
      <w:r>
        <w:t>El cliente marca acknowledged o programa reintento sin perder el payload.</w:t>
      </w:r>
    </w:p>
    <w:p>
      <w:pPr>
        <w:pStyle w:val="Heading2"/>
      </w:pPr>
      <w:r>
        <w:t>8.3 Protocolo pull</w:t>
      </w:r>
    </w:p>
    <w:p>
      <w:pPr>
        <w:keepLines/>
      </w:pPr>
      <w:r>
        <w:rPr>
          <w:rFonts w:ascii="Calibri" w:hAnsi="Calibri"/>
          <w:b/>
        </w:rPr>
        <w:t xml:space="preserve">SY-010 — Cursor. </w:t>
      </w:r>
      <w:r>
        <w:t>Cada dispositivo conservará un cursor central por ámbito de sincronización.</w:t>
      </w:r>
    </w:p>
    <w:p>
      <w:pPr>
        <w:keepLines/>
      </w:pPr>
      <w:r>
        <w:rPr>
          <w:rFonts w:ascii="Calibri" w:hAnsi="Calibri"/>
          <w:b/>
        </w:rPr>
        <w:t xml:space="preserve">SY-011 — Paginación. </w:t>
      </w:r>
      <w:r>
        <w:t>Los cambios se descargarán en lotes ordenados y reanudables.</w:t>
      </w:r>
    </w:p>
    <w:p>
      <w:pPr>
        <w:keepLines/>
      </w:pPr>
      <w:r>
        <w:rPr>
          <w:rFonts w:ascii="Calibri" w:hAnsi="Calibri"/>
          <w:b/>
        </w:rPr>
        <w:t xml:space="preserve">SY-012 — Aplicación atómica. </w:t>
      </w:r>
      <w:r>
        <w:t>Cada lote remoto se aplicará en una transacción SQLite.</w:t>
      </w:r>
    </w:p>
    <w:p>
      <w:pPr>
        <w:keepLines/>
      </w:pPr>
      <w:r>
        <w:rPr>
          <w:rFonts w:ascii="Calibri" w:hAnsi="Calibri"/>
          <w:b/>
        </w:rPr>
        <w:t xml:space="preserve">SY-013 — Tombstones. </w:t>
      </w:r>
      <w:r>
        <w:t>Las desactivaciones/borrados lógicos se transmitirán explícitamente.</w:t>
      </w:r>
    </w:p>
    <w:p>
      <w:pPr>
        <w:keepLines/>
      </w:pPr>
      <w:r>
        <w:rPr>
          <w:rFonts w:ascii="Calibri" w:hAnsi="Calibri"/>
          <w:b/>
        </w:rPr>
        <w:t xml:space="preserve">SY-014 — Compatibilidad. </w:t>
      </w:r>
      <w:r>
        <w:t>Payload y migraciones tendrán schema_version.</w:t>
      </w:r>
    </w:p>
    <w:p>
      <w:pPr>
        <w:pStyle w:val="Heading2"/>
      </w:pPr>
      <w:r>
        <w:t>8.4 Política de conflictos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880"/>
        <w:gridCol w:w="414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Dato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Política inicial</w:t>
            </w:r>
          </w:p>
        </w:tc>
        <w:tc>
          <w:tcPr>
            <w:tcW w:type="dxa" w:w="41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Justificación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confirmada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Inmutable/idempotente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se fusionan transacciones comerciales.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Movimiento de stock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Evento acumulativo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Cada movimiento conserva trazabilidad.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 + revisión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 cambio simultáneo no debe ocultarse silenciosamente.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 descriptivo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Última versión válida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Nombre/categoría son editables.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 cerrada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Inmutable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Las correcciones serán movimientos compensatorios.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 online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Máquina de estados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transiciones autorizadas.</w:t>
            </w:r>
          </w:p>
        </w:tc>
      </w:tr>
    </w:tbl>
    <w:p/>
    <w:p>
      <w:pPr>
        <w:pStyle w:val="Heading2"/>
      </w:pPr>
      <w:r>
        <w:t>8.5 Reintentos</w:t>
      </w:r>
    </w:p>
    <w:p>
      <w:pPr>
        <w:pStyle w:val="ListBullet"/>
      </w:pPr>
      <w:r>
        <w:t>Backoff exponencial con variación y límite configurable.</w:t>
      </w:r>
    </w:p>
    <w:p>
      <w:pPr>
        <w:pStyle w:val="ListBullet"/>
      </w:pPr>
      <w:r>
        <w:t>Errores 4xx de validación pasan a failed y requieren corrección; errores transitorios se reintentan.</w:t>
      </w:r>
    </w:p>
    <w:p>
      <w:pPr>
        <w:pStyle w:val="ListBullet"/>
      </w:pPr>
      <w:r>
        <w:t>El usuario verá estado local, sincronizando, sincronizado o requiere atención.</w:t>
      </w:r>
    </w:p>
    <w:p>
      <w:pPr>
        <w:pStyle w:val="ListBullet"/>
      </w:pPr>
      <w:r>
        <w:t>La cola no se borrará hasta recibir confirmación central persistida.</w:t>
      </w:r>
    </w:p>
    <w:p>
      <w:pPr>
        <w:pStyle w:val="Heading1"/>
      </w:pPr>
      <w:r>
        <w:t>9. Backend y contratos de API</w:t>
      </w:r>
    </w:p>
    <w:p>
      <w:pPr>
        <w:pStyle w:val="Heading2"/>
      </w:pPr>
      <w:r>
        <w:t>9.1 Servicios previstos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Servicio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Responsabilidad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Implementación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Auth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Sesión, recuperación y emisión de tokens.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Supabase Auth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Datos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CRUD autorizado y consultas consolidadas.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PostgreSQL + RLS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push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Aplicar operaciones idempotentes.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RPC/Edge Function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Sync pull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Entregar cambios por cursor.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RPC/Edge Function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Estados, reservas y cálculo final.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PostgreSQL + Functions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Archivos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URLs firmadas y políticas por bucket.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Supabase Storage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Notificaciones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Eventos de pedido y reparto.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Proveedor push por definir</w:t>
            </w:r>
          </w:p>
        </w:tc>
      </w:tr>
    </w:tbl>
    <w:p/>
    <w:p>
      <w:pPr>
        <w:pStyle w:val="Heading2"/>
      </w:pPr>
      <w:r>
        <w:t>9.2 Contratos mínimos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POST /sync/push</w:t>
        <w:br/>
        <w:t>{ device_id, store_id, operations: [{ operation_id, schema_version, type, payload }] }</w:t>
        <w:br/>
        <w:t>→ { results: [{ operation_id, status, server_version, error_code? }] }</w:t>
      </w:r>
    </w:p>
    <w:p>
      <w:pPr>
        <w:spacing w:before="60" w:after="120" w:line="240" w:lineRule="auto"/>
        <w:ind w:left="360" w:right="360"/>
        <w:shd w:fill="F5F5F5"/>
      </w:pPr>
      <w:r>
        <w:rPr>
          <w:rFonts w:ascii="Consolas" w:hAnsi="Consolas"/>
          <w:color w:val="333333"/>
          <w:sz w:val="18"/>
        </w:rPr>
        <w:t>GET /sync/pull?store_id=&lt;uuid&gt;&amp;cursor=&lt;opaque&gt;&amp;limit=&lt;n&gt;</w:t>
        <w:br/>
        <w:t>→ { changes: [...], next_cursor, has_more, server_time }</w:t>
      </w:r>
    </w:p>
    <w:p>
      <w:pPr>
        <w:keepLines/>
      </w:pPr>
      <w:r>
        <w:rPr>
          <w:rFonts w:ascii="Calibri" w:hAnsi="Calibri"/>
          <w:b/>
        </w:rPr>
        <w:t xml:space="preserve">API-001 — Versionado. </w:t>
      </w:r>
      <w:r>
        <w:t>Los contratos usarán versión explícita y cambios incompatibles requerirán nueva versión.</w:t>
      </w:r>
    </w:p>
    <w:p>
      <w:pPr>
        <w:keepLines/>
      </w:pPr>
      <w:r>
        <w:rPr>
          <w:rFonts w:ascii="Calibri" w:hAnsi="Calibri"/>
          <w:b/>
        </w:rPr>
        <w:t xml:space="preserve">API-002 — Errores. </w:t>
      </w:r>
      <w:r>
        <w:t>Las respuestas usarán códigos estables, correlation_id y mensajes no sensibles.</w:t>
      </w:r>
    </w:p>
    <w:p>
      <w:pPr>
        <w:keepLines/>
      </w:pPr>
      <w:r>
        <w:rPr>
          <w:rFonts w:ascii="Calibri" w:hAnsi="Calibri"/>
          <w:b/>
        </w:rPr>
        <w:t xml:space="preserve">API-003 — Límites. </w:t>
      </w:r>
      <w:r>
        <w:t>El servidor limitará tamaño de lote, frecuencia y payload.</w:t>
      </w:r>
    </w:p>
    <w:p>
      <w:pPr>
        <w:keepLines/>
      </w:pPr>
      <w:r>
        <w:rPr>
          <w:rFonts w:ascii="Calibri" w:hAnsi="Calibri"/>
          <w:b/>
        </w:rPr>
        <w:t xml:space="preserve">API-004 — Tiempo. </w:t>
      </w:r>
      <w:r>
        <w:t>El servidor será autoridad para server_created_at y versiones.</w:t>
      </w:r>
    </w:p>
    <w:p>
      <w:pPr>
        <w:keepLines/>
      </w:pPr>
      <w:r>
        <w:rPr>
          <w:rFonts w:ascii="Calibri" w:hAnsi="Calibri"/>
          <w:b/>
        </w:rPr>
        <w:t xml:space="preserve">API-005 — Idempotencia. </w:t>
      </w:r>
      <w:r>
        <w:t>sync_operations tendrá restricción única por operation_id.</w:t>
      </w:r>
    </w:p>
    <w:p>
      <w:pPr>
        <w:pStyle w:val="Heading1"/>
      </w:pPr>
      <w:r>
        <w:t>10. Identidad, autorización y seguridad</w:t>
      </w:r>
    </w:p>
    <w:p>
      <w:pPr>
        <w:pStyle w:val="Heading2"/>
      </w:pPr>
      <w:r>
        <w:t>10.1 Identidad</w:t>
      </w:r>
    </w:p>
    <w:p>
      <w:pPr>
        <w:pStyle w:val="ListBullet"/>
      </w:pPr>
      <w:r>
        <w:t>Supabase Auth administrará identidad central y tokens.</w:t>
      </w:r>
    </w:p>
    <w:p>
      <w:pPr>
        <w:pStyle w:val="ListBullet"/>
      </w:pPr>
      <w:r>
        <w:t>El PIN local facilitará cambio de operador, pero no sustituirá la identidad central del dispositivo.</w:t>
      </w:r>
    </w:p>
    <w:p>
      <w:pPr>
        <w:pStyle w:val="ListBullet"/>
      </w:pPr>
      <w:r>
        <w:t>Tokens se almacenarán con almacenamiento seguro del sistema, no en AsyncStorage ni SQLite sin protección.</w:t>
      </w:r>
    </w:p>
    <w:p>
      <w:pPr>
        <w:pStyle w:val="ListBullet"/>
      </w:pPr>
      <w:r>
        <w:t>Cada instalación registrará device_id, estado, tienda asignada y último acceso.</w:t>
      </w:r>
    </w:p>
    <w:p>
      <w:pPr>
        <w:pStyle w:val="Heading2"/>
      </w:pPr>
      <w:r>
        <w:t>10.2 Autorización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Rol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Permisos principales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Restricciones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Productos, precios, stock, caja, usuarios y reportes.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tiendas asignadas.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Vendedor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Ventas, consulta de stock, apertura/cierre autorizado.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 administración sensible.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Cliente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 perfil, direcciones, pedidos y pagos.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sus propios datos.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Restaurante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Perfil empresa, cotización y pedidos B2B.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organización vinculada.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Repartidor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Entregas asignadas y evidencia.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 precios internos ni inventario.</w:t>
            </w:r>
          </w:p>
        </w:tc>
      </w:tr>
    </w:tbl>
    <w:p/>
    <w:p>
      <w:pPr>
        <w:pStyle w:val="Heading2"/>
      </w:pPr>
      <w:r>
        <w:t>10.3 Controles obligatorios</w:t>
      </w:r>
    </w:p>
    <w:p>
      <w:pPr>
        <w:keepLines/>
      </w:pPr>
      <w:r>
        <w:rPr>
          <w:rFonts w:ascii="Calibri" w:hAnsi="Calibri"/>
          <w:b/>
        </w:rPr>
        <w:t xml:space="preserve">SEC-001 — RLS. </w:t>
      </w:r>
      <w:r>
        <w:t>Toda tabla expuesta desde Supabase tendrá Row Level Security y políticas probadas.</w:t>
      </w:r>
    </w:p>
    <w:p>
      <w:pPr>
        <w:keepLines/>
      </w:pPr>
      <w:r>
        <w:rPr>
          <w:rFonts w:ascii="Calibri" w:hAnsi="Calibri"/>
          <w:b/>
        </w:rPr>
        <w:t xml:space="preserve">SEC-002 — Secretos. </w:t>
      </w:r>
      <w:r>
        <w:t>Claves service_role y secretos de proveedores existirán solo en servidor/CI protegido.</w:t>
      </w:r>
    </w:p>
    <w:p>
      <w:pPr>
        <w:keepLines/>
      </w:pPr>
      <w:r>
        <w:rPr>
          <w:rFonts w:ascii="Calibri" w:hAnsi="Calibri"/>
          <w:b/>
        </w:rPr>
        <w:t xml:space="preserve">SEC-003 — Transporte. </w:t>
      </w:r>
      <w:r>
        <w:t>Todo tráfico remoto usará TLS.</w:t>
      </w:r>
    </w:p>
    <w:p>
      <w:pPr>
        <w:keepLines/>
      </w:pPr>
      <w:r>
        <w:rPr>
          <w:rFonts w:ascii="Calibri" w:hAnsi="Calibri"/>
          <w:b/>
        </w:rPr>
        <w:t xml:space="preserve">SEC-004 — PIN. </w:t>
      </w:r>
      <w:r>
        <w:t>Se almacenará únicamente como hash con sal, algoritmo y parámetros versionados.</w:t>
      </w:r>
    </w:p>
    <w:p>
      <w:pPr>
        <w:keepLines/>
      </w:pPr>
      <w:r>
        <w:rPr>
          <w:rFonts w:ascii="Calibri" w:hAnsi="Calibri"/>
          <w:b/>
        </w:rPr>
        <w:t xml:space="preserve">SEC-005 — Sesión. </w:t>
      </w:r>
      <w:r>
        <w:t>Se definirán expiración, bloqueo, revocación de dispositivo y cierre remoto.</w:t>
      </w:r>
    </w:p>
    <w:p>
      <w:pPr>
        <w:keepLines/>
      </w:pPr>
      <w:r>
        <w:rPr>
          <w:rFonts w:ascii="Calibri" w:hAnsi="Calibri"/>
          <w:b/>
        </w:rPr>
        <w:t xml:space="preserve">SEC-006 — Datos personales. </w:t>
      </w:r>
      <w:r>
        <w:t>Se aplicará minimización, propósito, retención y control de acceso.</w:t>
      </w:r>
    </w:p>
    <w:p>
      <w:pPr>
        <w:keepLines/>
      </w:pPr>
      <w:r>
        <w:rPr>
          <w:rFonts w:ascii="Calibri" w:hAnsi="Calibri"/>
          <w:b/>
        </w:rPr>
        <w:t xml:space="preserve">SEC-007 — Registro. </w:t>
      </w:r>
      <w:r>
        <w:t>Los logs excluirán tokens, PIN, datos completos de tarjeta y secretos.</w:t>
      </w:r>
    </w:p>
    <w:p>
      <w:pPr>
        <w:keepLines/>
      </w:pPr>
      <w:r>
        <w:rPr>
          <w:rFonts w:ascii="Calibri" w:hAnsi="Calibri"/>
          <w:b/>
        </w:rPr>
        <w:t xml:space="preserve">SEC-008 — Dependencias. </w:t>
      </w:r>
      <w:r>
        <w:t>Las vulnerabilidades se revisarán por impacto y se actualizarán mediante pruebas, nunca con force sin validación.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9B1C1C"/>
              </w:rPr>
              <w:t>Riesgo conocido</w:t>
              <w:br/>
            </w:r>
            <w:r>
              <w:t>npm audit reportó 14 vulnerabilidades moderadas vinculadas principalmente a la cadena de compilación de Expo. No debe ejecutarse npm audit fix --force porque propone un salto incompatible a Expo 57. Se requiere una actualización planificada.</w:t>
            </w:r>
          </w:p>
        </w:tc>
      </w:tr>
    </w:tbl>
    <w:p/>
    <w:p>
      <w:pPr>
        <w:pStyle w:val="Heading1"/>
      </w:pPr>
      <w:r>
        <w:t>11. Pagos, delivery e integraciones</w:t>
      </w:r>
    </w:p>
    <w:p>
      <w:pPr>
        <w:pStyle w:val="Heading2"/>
      </w:pPr>
      <w:r>
        <w:t>11.1 Pagos</w:t>
      </w:r>
    </w:p>
    <w:p>
      <w:pPr>
        <w:pStyle w:val="ListBullet"/>
      </w:pPr>
      <w:r>
        <w:t>El MVP interno registra efectivo, Yape, Plin o tarjeta como medio declarado.</w:t>
      </w:r>
    </w:p>
    <w:p>
      <w:pPr>
        <w:pStyle w:val="ListBullet"/>
      </w:pPr>
      <w:r>
        <w:t>La interfaz inicial admite un pago por venta; el esquema preserva relación uno-a-muchos.</w:t>
      </w:r>
    </w:p>
    <w:p>
      <w:pPr>
        <w:pStyle w:val="ListBullet"/>
      </w:pPr>
      <w:r>
        <w:t>La app no almacenará PAN, CVV ni datos sensibles de tarjeta.</w:t>
      </w:r>
    </w:p>
    <w:p>
      <w:pPr>
        <w:pStyle w:val="ListBullet"/>
      </w:pPr>
      <w:r>
        <w:t>Pagos online con tarjeta usarán tokenización y SDK/API de un proveedor compatible.</w:t>
      </w:r>
    </w:p>
    <w:p>
      <w:pPr>
        <w:pStyle w:val="ListBullet"/>
      </w:pPr>
      <w:r>
        <w:t>Yape/Plin requerirán definir validación automática, comprobante o conciliación antes del lanzamiento online.</w:t>
      </w:r>
    </w:p>
    <w:p>
      <w:pPr>
        <w:pStyle w:val="Heading2"/>
      </w:pPr>
      <w:r>
        <w:t>11.2 Adaptadores externos</w:t>
      </w:r>
    </w:p>
    <w:p>
      <w:pPr>
        <w:keepLines/>
      </w:pPr>
      <w:r>
        <w:rPr>
          <w:rFonts w:ascii="Calibri" w:hAnsi="Calibri"/>
          <w:b/>
        </w:rPr>
        <w:t xml:space="preserve">INT-001 — Abstracción. </w:t>
      </w:r>
      <w:r>
        <w:t>Cada proveedor implementará una interfaz propia sin contaminar el dominio.</w:t>
      </w:r>
    </w:p>
    <w:p>
      <w:pPr>
        <w:keepLines/>
      </w:pPr>
      <w:r>
        <w:rPr>
          <w:rFonts w:ascii="Calibri" w:hAnsi="Calibri"/>
          <w:b/>
        </w:rPr>
        <w:t xml:space="preserve">INT-002 — Webhooks. </w:t>
      </w:r>
      <w:r>
        <w:t>Los eventos entrantes se autenticarán, almacenarán e idempotentizarán.</w:t>
      </w:r>
    </w:p>
    <w:p>
      <w:pPr>
        <w:keepLines/>
      </w:pPr>
      <w:r>
        <w:rPr>
          <w:rFonts w:ascii="Calibri" w:hAnsi="Calibri"/>
          <w:b/>
        </w:rPr>
        <w:t xml:space="preserve">INT-003 — Mapas. </w:t>
      </w:r>
      <w:r>
        <w:t>Direcciones y rutas usarán un proveedor configurable.</w:t>
      </w:r>
    </w:p>
    <w:p>
      <w:pPr>
        <w:keepLines/>
      </w:pPr>
      <w:r>
        <w:rPr>
          <w:rFonts w:ascii="Calibri" w:hAnsi="Calibri"/>
          <w:b/>
        </w:rPr>
        <w:t xml:space="preserve">INT-004 — Delivery externo. </w:t>
      </w:r>
      <w:r>
        <w:t>La integración se activará solo tras validar cobertura, SLA, tarifas y API.</w:t>
      </w:r>
    </w:p>
    <w:p>
      <w:pPr>
        <w:keepLines/>
      </w:pPr>
      <w:r>
        <w:rPr>
          <w:rFonts w:ascii="Calibri" w:hAnsi="Calibri"/>
          <w:b/>
        </w:rPr>
        <w:t xml:space="preserve">INT-005 — SUNAT. </w:t>
      </w:r>
      <w:r>
        <w:t>La facturación electrónica será un módulo de servidor desacoplado del POS local.</w:t>
      </w:r>
    </w:p>
    <w:p>
      <w:pPr>
        <w:pStyle w:val="Heading1"/>
      </w:pPr>
      <w:r>
        <w:t>12. Requisitos no funcionales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2160"/>
        <w:gridCol w:w="5940"/>
      </w:tblGrid>
      <w:tr>
        <w:trPr>
          <w:tblHeader w:val="true"/>
        </w:trPr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ID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Categoría</w:t>
            </w:r>
          </w:p>
        </w:tc>
        <w:tc>
          <w:tcPr>
            <w:tcW w:type="dxa" w:w="59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Requisito verificable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NFR-001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Disponibilidad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presencial funcional sin internet durante una jornada.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NFR-002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Rendimiento local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Acciones comunes p95 ≤ 1 s en Android gama media objetivo.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NFR-003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Confirmación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local p95 ≤ 2 s sin sincronización remota.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NFR-004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Sincronización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≥ 99% de operaciones aceptadas sin intervención en condiciones normales.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NFR-005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Integridad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 duplicados por reintento y 0 ventas parcialmente persistidas.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NFR-006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Escala inicial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 menos 3 dispositivos y 10,000 productos/movimientos locales sin degradación crítica.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NFR-007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Compatibilidad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Android operativo; cliente Android/iOS en versiones soportadas por Expo.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NFR-008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Mantenibilidad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Dominio probado y sin dependencias directas de UI/SQL.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NFR-009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Recuperación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Restauración central probada y procedimiento documentado.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NFR-010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Observabilidad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Errores críticos correlacionables por operación y dispositivo.</w:t>
            </w:r>
          </w:p>
        </w:tc>
      </w:tr>
    </w:tbl>
    <w:p/>
    <w:p>
      <w:pPr>
        <w:pStyle w:val="Heading1"/>
      </w:pPr>
      <w:r>
        <w:t>13. Pruebas y aseguramiento de calidad</w:t>
      </w:r>
    </w:p>
    <w:p>
      <w:pPr>
        <w:pStyle w:val="Heading2"/>
      </w:pPr>
      <w:r>
        <w:t>13.1 Pirámide de pruebas</w:t>
      </w:r>
    </w:p>
    <w:p>
      <w:pPr>
        <w:pStyle w:val="ListBullet"/>
      </w:pPr>
      <w:r>
        <w:t>Unitarias: fórmulas, conversiones, redondeo, estados, permisos y errores de dominio.</w:t>
      </w:r>
    </w:p>
    <w:p>
      <w:pPr>
        <w:pStyle w:val="ListBullet"/>
      </w:pPr>
      <w:r>
        <w:t>Integración SQLite: migraciones, repositorios, transacciones, stock, caja y outbox.</w:t>
      </w:r>
    </w:p>
    <w:p>
      <w:pPr>
        <w:pStyle w:val="ListBullet"/>
      </w:pPr>
      <w:r>
        <w:t>Contrato: payloads de sync, compatibilidad de versiones y errores.</w:t>
      </w:r>
    </w:p>
    <w:p>
      <w:pPr>
        <w:pStyle w:val="ListBullet"/>
      </w:pPr>
      <w:r>
        <w:t>Integración backend: RLS, idempotencia, conflictos, Functions y Storage.</w:t>
      </w:r>
    </w:p>
    <w:p>
      <w:pPr>
        <w:pStyle w:val="ListBullet"/>
      </w:pPr>
      <w:r>
        <w:t>Interfaz: flujos críticos con componentes y navegación.</w:t>
      </w:r>
    </w:p>
    <w:p>
      <w:pPr>
        <w:pStyle w:val="ListBullet"/>
      </w:pPr>
      <w:r>
        <w:t>End-to-end: venta offline, reconexión, pedido online y entrega.</w:t>
      </w:r>
    </w:p>
    <w:p>
      <w:pPr>
        <w:pStyle w:val="Heading2"/>
      </w:pPr>
      <w:r>
        <w:t>13.2 Matriz mínima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4680"/>
        <w:gridCol w:w="180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Escenario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Resultado esperado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Nivel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250 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Total y descuento de 250 g correctos.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SQLite/E2E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por unidad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Cantidad y stock unitario correctos.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SQLite/E2E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 por monto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Cantidad estimada y total real coherentes.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Unidad/E2E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 insuficiente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Transacción rechazada sin cambios parciales.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Integración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Reinicio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y caja persisten.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Integración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Reintento sync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Una sola venta central.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Backend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Dos precios simultáneos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Conflicto visible según política.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Backend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RLS ajena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Acceso denegado a otra tienda/cliente.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Seguridad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Migración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Datos anteriores preservados.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Integración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Cierre de caja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Esperado, contado y diferencia correctos.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E2E</w:t>
            </w:r>
          </w:p>
        </w:tc>
      </w:tr>
    </w:tbl>
    <w:p/>
    <w:p>
      <w:pPr>
        <w:pStyle w:val="Heading2"/>
      </w:pPr>
      <w:r>
        <w:t>13.3 Puertas de calidad</w:t>
      </w:r>
    </w:p>
    <w:p>
      <w:pPr>
        <w:keepLines/>
      </w:pPr>
      <w:r>
        <w:rPr>
          <w:rFonts w:ascii="Calibri" w:hAnsi="Calibri"/>
          <w:b/>
        </w:rPr>
        <w:t xml:space="preserve">QA-001 — Estática. </w:t>
      </w:r>
      <w:r>
        <w:t>npm run lint y npx tsc --noEmit deben terminar sin errores.</w:t>
      </w:r>
    </w:p>
    <w:p>
      <w:pPr>
        <w:keepLines/>
      </w:pPr>
      <w:r>
        <w:rPr>
          <w:rFonts w:ascii="Calibri" w:hAnsi="Calibri"/>
          <w:b/>
        </w:rPr>
        <w:t xml:space="preserve">QA-002 — Pruebas. </w:t>
      </w:r>
      <w:r>
        <w:t>Toda prueba automatizada obligatoria debe aprobar antes de integrar.</w:t>
      </w:r>
    </w:p>
    <w:p>
      <w:pPr>
        <w:keepLines/>
      </w:pPr>
      <w:r>
        <w:rPr>
          <w:rFonts w:ascii="Calibri" w:hAnsi="Calibri"/>
          <w:b/>
        </w:rPr>
        <w:t xml:space="preserve">QA-003 — Migraciones. </w:t>
      </w:r>
      <w:r>
        <w:t>Cada migración tendrá prueba desde la versión anterior con datos.</w:t>
      </w:r>
    </w:p>
    <w:p>
      <w:pPr>
        <w:keepLines/>
      </w:pPr>
      <w:r>
        <w:rPr>
          <w:rFonts w:ascii="Calibri" w:hAnsi="Calibri"/>
          <w:b/>
        </w:rPr>
        <w:t xml:space="preserve">QA-004 — Bundle. </w:t>
      </w:r>
      <w:r>
        <w:t>La compilación Android deberá generarse correctamente.</w:t>
      </w:r>
    </w:p>
    <w:p>
      <w:pPr>
        <w:keepLines/>
      </w:pPr>
      <w:r>
        <w:rPr>
          <w:rFonts w:ascii="Calibri" w:hAnsi="Calibri"/>
          <w:b/>
        </w:rPr>
        <w:t xml:space="preserve">QA-005 — Diff. </w:t>
      </w:r>
      <w:r>
        <w:t>git diff --check no mostrará errores de espacios.</w:t>
      </w:r>
    </w:p>
    <w:p>
      <w:pPr>
        <w:keepLines/>
      </w:pPr>
      <w:r>
        <w:rPr>
          <w:rFonts w:ascii="Calibri" w:hAnsi="Calibri"/>
          <w:b/>
        </w:rPr>
        <w:t xml:space="preserve">QA-006 — Manual. </w:t>
      </w:r>
      <w:r>
        <w:t>Los flujos críticos se verificarán en emulador y al menos un teléfono físico antes de publicar.</w:t>
      </w:r>
    </w:p>
    <w:p>
      <w:pPr>
        <w:pStyle w:val="Heading1"/>
      </w:pPr>
      <w:r>
        <w:t>14. Entornos, CI/CD y publicación</w:t>
      </w:r>
    </w:p>
    <w:p>
      <w:pPr>
        <w:pStyle w:val="Heading2"/>
      </w:pPr>
      <w:r>
        <w:t>14.1 Entornos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Entorno</w:t>
            </w:r>
          </w:p>
        </w:tc>
        <w:tc>
          <w:tcPr>
            <w:tcW w:type="dxa" w:w="3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Uso</w:t>
            </w:r>
          </w:p>
        </w:tc>
        <w:tc>
          <w:tcPr>
            <w:tcW w:type="dxa" w:w="3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Datos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Local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Desarrollo, pruebas unitarias y SQLite.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Demostración, nunca reales.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Development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Integración continua con Supabase de desarrollo.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Sintéticos.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Staging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Pruebas E2E y aceptación antes de publicar.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Anonimizados/sintéticos.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Production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 real de Cogana.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Reales con acceso restringido.</w:t>
            </w:r>
          </w:p>
        </w:tc>
      </w:tr>
    </w:tbl>
    <w:p/>
    <w:p>
      <w:pPr>
        <w:pStyle w:val="Heading2"/>
      </w:pPr>
      <w:r>
        <w:t>14.2 Flujo de integración</w:t>
      </w:r>
    </w:p>
    <w:p>
      <w:pPr>
        <w:pStyle w:val="ListNumber"/>
      </w:pPr>
      <w:r>
        <w:t>Crear rama de funcionalidad y cambios pequeños.</w:t>
      </w:r>
    </w:p>
    <w:p>
      <w:pPr>
        <w:pStyle w:val="ListNumber"/>
      </w:pPr>
      <w:r>
        <w:t>Ejecutar lint, TypeScript, pruebas y verificación de migración.</w:t>
      </w:r>
    </w:p>
    <w:p>
      <w:pPr>
        <w:pStyle w:val="ListNumber"/>
      </w:pPr>
      <w:r>
        <w:t>Revisar cambios y fusionar únicamente con puertas verdes.</w:t>
      </w:r>
    </w:p>
    <w:p>
      <w:pPr>
        <w:pStyle w:val="ListNumber"/>
      </w:pPr>
      <w:r>
        <w:t>Generar build de staging y ejecutar aceptación.</w:t>
      </w:r>
    </w:p>
    <w:p>
      <w:pPr>
        <w:pStyle w:val="ListNumber"/>
      </w:pPr>
      <w:r>
        <w:t>Promover el mismo código/configuración versionada a producción.</w:t>
      </w:r>
    </w:p>
    <w:p>
      <w:pPr>
        <w:pStyle w:val="ListNumber"/>
      </w:pPr>
      <w:r>
        <w:t>Vigilar errores y conservar un plan de reversión compatible con datos.</w:t>
      </w:r>
    </w:p>
    <w:p>
      <w:pPr>
        <w:pStyle w:val="Heading2"/>
      </w:pPr>
      <w:r>
        <w:t>14.3 Configuración y secretos</w:t>
      </w:r>
    </w:p>
    <w:p>
      <w:pPr>
        <w:pStyle w:val="ListBullet"/>
      </w:pPr>
      <w:r>
        <w:t>Variables públicas Expo solo contendrán identificadores publicables.</w:t>
      </w:r>
    </w:p>
    <w:p>
      <w:pPr>
        <w:pStyle w:val="ListBullet"/>
      </w:pPr>
      <w:r>
        <w:t>Secretos se almacenarán en el servicio de compilación/backend, fuera de Git.</w:t>
      </w:r>
    </w:p>
    <w:p>
      <w:pPr>
        <w:pStyle w:val="ListBullet"/>
      </w:pPr>
      <w:r>
        <w:t>Cada entorno tendrá proyecto Supabase, claves y buckets separados.</w:t>
      </w:r>
    </w:p>
    <w:p>
      <w:pPr>
        <w:pStyle w:val="ListBullet"/>
      </w:pPr>
      <w:r>
        <w:t>Las migraciones centrales se versionarán y aplicarán de forma controlada.</w:t>
      </w:r>
    </w:p>
    <w:p>
      <w:pPr>
        <w:pStyle w:val="ListBullet"/>
      </w:pPr>
      <w:r>
        <w:t>La publicación usará EAS Build/Submit cuando se habiliten cuentas de tiendas.</w:t>
      </w:r>
    </w:p>
    <w:p>
      <w:pPr>
        <w:pStyle w:val="Heading1"/>
      </w:pPr>
      <w:r>
        <w:t>15. Observabilidad, respaldo y recuperación</w:t>
      </w:r>
    </w:p>
    <w:p>
      <w:pPr>
        <w:pStyle w:val="Heading2"/>
      </w:pPr>
      <w:r>
        <w:t>15.1 Telemetría mínima</w:t>
      </w:r>
    </w:p>
    <w:p>
      <w:pPr>
        <w:pStyle w:val="ListBullet"/>
      </w:pPr>
      <w:r>
        <w:t>Versión de app, entorno, dispositivo anonimizado y correlation_id.</w:t>
      </w:r>
    </w:p>
    <w:p>
      <w:pPr>
        <w:pStyle w:val="ListBullet"/>
      </w:pPr>
      <w:r>
        <w:t>Duración y resultado de migraciones, transacciones críticas y sincronización.</w:t>
      </w:r>
    </w:p>
    <w:p>
      <w:pPr>
        <w:pStyle w:val="ListBullet"/>
      </w:pPr>
      <w:r>
        <w:t>Tamaño de outbox, antigüedad del pendiente más antiguo y número de reintentos.</w:t>
      </w:r>
    </w:p>
    <w:p>
      <w:pPr>
        <w:pStyle w:val="ListBullet"/>
      </w:pPr>
      <w:r>
        <w:t>Errores de RLS, validación, integraciones y estados imposibles.</w:t>
      </w:r>
    </w:p>
    <w:p>
      <w:pPr>
        <w:pStyle w:val="ListBullet"/>
      </w:pPr>
      <w:r>
        <w:t>Nunca registrar tokens, PIN, payloads financieros completos ni datos de tarjeta.</w:t>
      </w:r>
    </w:p>
    <w:p>
      <w:pPr>
        <w:pStyle w:val="Heading2"/>
      </w:pPr>
      <w:r>
        <w:t>15.2 Respaldo y recuperación</w:t>
      </w:r>
    </w:p>
    <w:p>
      <w:pPr>
        <w:keepLines/>
      </w:pPr>
      <w:r>
        <w:rPr>
          <w:rFonts w:ascii="Calibri" w:hAnsi="Calibri"/>
          <w:b/>
        </w:rPr>
        <w:t xml:space="preserve">OPS-001 — Respaldo central. </w:t>
      </w:r>
      <w:r>
        <w:t>PostgreSQL tendrá copias automáticas según el plan contratado y retención documentada.</w:t>
      </w:r>
    </w:p>
    <w:p>
      <w:pPr>
        <w:keepLines/>
      </w:pPr>
      <w:r>
        <w:rPr>
          <w:rFonts w:ascii="Calibri" w:hAnsi="Calibri"/>
          <w:b/>
        </w:rPr>
        <w:t xml:space="preserve">OPS-002 — Prueba de restauración. </w:t>
      </w:r>
      <w:r>
        <w:t>Se ejecutará y documentará al menos trimestralmente cuando exista producción.</w:t>
      </w:r>
    </w:p>
    <w:p>
      <w:pPr>
        <w:keepLines/>
      </w:pPr>
      <w:r>
        <w:rPr>
          <w:rFonts w:ascii="Calibri" w:hAnsi="Calibri"/>
          <w:b/>
        </w:rPr>
        <w:t xml:space="preserve">OPS-003 — Dispositivo perdido. </w:t>
      </w:r>
      <w:r>
        <w:t>El administrador podrá revocar acceso; los datos sincronizados se recuperarán al autorizar otro dispositivo.</w:t>
      </w:r>
    </w:p>
    <w:p>
      <w:pPr>
        <w:keepLines/>
      </w:pPr>
      <w:r>
        <w:rPr>
          <w:rFonts w:ascii="Calibri" w:hAnsi="Calibri"/>
          <w:b/>
        </w:rPr>
        <w:t xml:space="preserve">OPS-004 — Outbox pendiente. </w:t>
      </w:r>
      <w:r>
        <w:t>Antes de limpiar o reinstalar se advertirá sobre operaciones no sincronizadas.</w:t>
      </w:r>
    </w:p>
    <w:p>
      <w:pPr>
        <w:keepLines/>
      </w:pPr>
      <w:r>
        <w:rPr>
          <w:rFonts w:ascii="Calibri" w:hAnsi="Calibri"/>
          <w:b/>
        </w:rPr>
        <w:t xml:space="preserve">OPS-005 — Incidente. </w:t>
      </w:r>
      <w:r>
        <w:t>Se definirá responsable, canal, severidad y pasos de contención/recuperación.</w:t>
      </w:r>
    </w:p>
    <w:p>
      <w:pPr>
        <w:pStyle w:val="Heading1"/>
      </w:pPr>
      <w:r>
        <w:t>16. Criterios de aceptación técnica</w:t>
      </w:r>
    </w:p>
    <w:p>
      <w:pPr>
        <w:pStyle w:val="ListBullet"/>
      </w:pPr>
      <w:r>
        <w:t>CAT-01. Una venta offline guarda atómicamente cabecera, artículos, pago, stock, caja y outbox.</w:t>
      </w:r>
    </w:p>
    <w:p>
      <w:pPr>
        <w:pStyle w:val="ListBullet"/>
      </w:pPr>
      <w:r>
        <w:t>CAT-02. Reiniciar la aplicación no pierde ventas, sesión de caja ni operaciones pendientes.</w:t>
      </w:r>
    </w:p>
    <w:p>
      <w:pPr>
        <w:pStyle w:val="ListBullet"/>
      </w:pPr>
      <w:r>
        <w:t>CAT-03. El mismo operation_id enviado varias veces produce un solo efecto central.</w:t>
      </w:r>
    </w:p>
    <w:p>
      <w:pPr>
        <w:pStyle w:val="ListBullet"/>
      </w:pPr>
      <w:r>
        <w:t>CAT-04. Dos dispositivos sincronizan productos, precios, ventas y stock sin duplicados.</w:t>
      </w:r>
    </w:p>
    <w:p>
      <w:pPr>
        <w:pStyle w:val="ListBullet"/>
      </w:pPr>
      <w:r>
        <w:t>CAT-05. Los conflictos de precio se detectan y no se sobrescriben silenciosamente.</w:t>
      </w:r>
    </w:p>
    <w:p>
      <w:pPr>
        <w:pStyle w:val="ListBullet"/>
      </w:pPr>
      <w:r>
        <w:t>CAT-06. Las políticas RLS impiden que un usuario acceda a otra tienda o a datos de otro cliente.</w:t>
      </w:r>
    </w:p>
    <w:p>
      <w:pPr>
        <w:pStyle w:val="ListBullet"/>
      </w:pPr>
      <w:r>
        <w:t>CAT-07. Ningún secreto administrativo ni dato de tarjeta está incluido en la aplicación.</w:t>
      </w:r>
    </w:p>
    <w:p>
      <w:pPr>
        <w:pStyle w:val="ListBullet"/>
      </w:pPr>
      <w:r>
        <w:t>CAT-08. Una migración desde la versión anterior conserva todos los datos válidos.</w:t>
      </w:r>
    </w:p>
    <w:p>
      <w:pPr>
        <w:pStyle w:val="ListBullet"/>
      </w:pPr>
      <w:r>
        <w:t>CAT-09. Lint, TypeScript, pruebas, bundle y diff check son correctos.</w:t>
      </w:r>
    </w:p>
    <w:p>
      <w:pPr>
        <w:pStyle w:val="ListBullet"/>
      </w:pPr>
      <w:r>
        <w:t>CAT-10. El estado de sincronización y los errores recuperables son visibles para el operador.</w:t>
      </w:r>
    </w:p>
    <w:p>
      <w:pPr>
        <w:pStyle w:val="ListBullet"/>
      </w:pPr>
      <w:r>
        <w:t>CAT-11. Se prueba en emulador y teléfono Android físico objetivo.</w:t>
      </w:r>
    </w:p>
    <w:p>
      <w:pPr>
        <w:pStyle w:val="ListBullet"/>
      </w:pPr>
      <w:r>
        <w:t>CAT-12. Existe procedimiento documentado de respaldo, revocación y recuperación.</w:t>
      </w:r>
    </w:p>
    <w:p>
      <w:pPr>
        <w:pStyle w:val="Heading1"/>
      </w:pPr>
      <w:r>
        <w:t>17. Plan de implementación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0"/>
        <w:gridCol w:w="4680"/>
        <w:gridCol w:w="2700"/>
      </w:tblGrid>
      <w:tr>
        <w:trPr>
          <w:tblHeader w:val="true"/>
        </w:trPr>
        <w:tc>
          <w:tcPr>
            <w:tcW w:type="dxa" w:w="1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Hito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Entregable técnico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Dependencia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T1 — Base local estable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Ventas/caja conectadas a SQLite, PIN y pruebas manuales.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Commit actual validado.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T2 — Backend base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Supabase, esquema, Auth, RLS, stores/users/devices.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Decisiones de identidad.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T3 — Sync piloto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Push/pull, idempotencia, cursor y conflictos.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T1 y T2.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T4 — Operación real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Dos dispositivos y catálogo pequeño durante una semana.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T3 y políticas.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T5 — Retail online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Cliente, catálogo, carrito, pedidos y pagos.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 central confiable.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T6 — B2B y delivery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Restaurantes, despacho propio y adaptadores.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Retail estabilizado.</w:t>
            </w:r>
          </w:p>
        </w:tc>
      </w:tr>
      <w:t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T7 — Expansión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SUNAT, proveedores, lotes, reportes y multi-sede.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Procesos validados.</w:t>
            </w:r>
          </w:p>
        </w:tc>
      </w:tr>
    </w:tbl>
    <w:p/>
    <w:p>
      <w:pPr>
        <w:pStyle w:val="Heading1"/>
      </w:pPr>
      <w:r>
        <w:t>18. Riesgos y decisiones abiertas</w:t>
      </w:r>
    </w:p>
    <w:p>
      <w:pPr>
        <w:pStyle w:val="Heading2"/>
      </w:pPr>
      <w:r>
        <w:t>18.1 Riesgos técnicos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700"/>
        <w:gridCol w:w="41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Riesgo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Efecto</w:t>
            </w:r>
          </w:p>
        </w:tc>
        <w:tc>
          <w:tcPr>
            <w:tcW w:type="dxa" w:w="41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Tratamiento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Sincronización compleja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Duplicados o stock inconsistente.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Piloto de dos dispositivos e idempotencia primero.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Datos locales en teléfono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Pérdida/exposición por robo.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Revocación, almacenamiento seguro y sync frecuente.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Cambios incompatibles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Instalaciones bloqueadas.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Migraciones ensayadas y versionado de contratos.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Dependencias antiguas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Riesgo de compilación/seguridad.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Actualizaciones planificadas y compatibles.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Integraciones no definidas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Retraso de pagos/delivery.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Adaptadores y selección temprana de proveedor.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Solo un desarrollador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Cuello de botella y conocimiento único.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Documentación, commits pequeños y automatización.</w:t>
            </w:r>
          </w:p>
        </w:tc>
      </w:tr>
    </w:tbl>
    <w:p/>
    <w:p>
      <w:pPr>
        <w:pStyle w:val="Heading2"/>
      </w:pPr>
      <w:r>
        <w:t>18.2 Decisiones abiertas</w:t>
      </w:r>
    </w:p>
    <w:p>
      <w:pPr>
        <w:pStyle w:val="ListBullet"/>
      </w:pPr>
      <w:r>
        <w:t>DT-01. Proveedor y flujo definitivo de pago con tarjeta.</w:t>
      </w:r>
    </w:p>
    <w:p>
      <w:pPr>
        <w:pStyle w:val="ListBullet"/>
      </w:pPr>
      <w:r>
        <w:t>DT-02. Método de validación/conciliación de Yape y Plin.</w:t>
      </w:r>
    </w:p>
    <w:p>
      <w:pPr>
        <w:pStyle w:val="ListBullet"/>
      </w:pPr>
      <w:r>
        <w:t>DT-03. Política de autenticación central y uso exacto del PIN.</w:t>
      </w:r>
    </w:p>
    <w:p>
      <w:pPr>
        <w:pStyle w:val="ListBullet"/>
      </w:pPr>
      <w:r>
        <w:t>DT-04. Cifrado local adicional y requisitos mínimos de bloqueo del dispositivo.</w:t>
      </w:r>
    </w:p>
    <w:p>
      <w:pPr>
        <w:pStyle w:val="ListBullet"/>
      </w:pPr>
      <w:r>
        <w:t>DT-05. Política exacta de conflictos de precio y edición de productos.</w:t>
      </w:r>
    </w:p>
    <w:p>
      <w:pPr>
        <w:pStyle w:val="ListBullet"/>
      </w:pPr>
      <w:r>
        <w:t>DT-06. Límites de lote, cursores y retención del changelog de sincronización.</w:t>
      </w:r>
    </w:p>
    <w:p>
      <w:pPr>
        <w:pStyle w:val="ListBullet"/>
      </w:pPr>
      <w:r>
        <w:t>DT-07. Proveedor de mapas, notificaciones, SUNAT y delivery externo.</w:t>
      </w:r>
    </w:p>
    <w:p>
      <w:pPr>
        <w:pStyle w:val="ListBullet"/>
      </w:pPr>
      <w:r>
        <w:t>DT-08. Versiones mínimas de Android/iOS basadas en teléfonos reales del negocio.</w:t>
      </w:r>
    </w:p>
    <w:p>
      <w:pPr>
        <w:pStyle w:val="ListBullet"/>
      </w:pPr>
      <w:r>
        <w:t>DT-09. SLA, RPO y RTO de producción según costo aceptable.</w:t>
      </w:r>
    </w:p>
    <w:p>
      <w:pPr>
        <w:pStyle w:val="ListBullet"/>
      </w:pPr>
      <w:r>
        <w:t>DT-10. Herramienta de estado global cuando Context deje de ser suficiente.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Siguiente decisión técnica</w:t>
              <w:br/>
            </w:r>
            <w:r>
              <w:t>No conviene comenzar aún las pantallas de tienda online. El próximo bloque debe cerrar la persistencia local, implementar identidad y construir un prototipo de sincronización con Supabase en dos dispositivos.</w:t>
            </w:r>
          </w:p>
        </w:tc>
      </w:tr>
    </w:tbl>
    <w:p/>
    <w:p>
      <w:r>
        <w:br w:type="page"/>
      </w:r>
    </w:p>
    <w:p>
      <w:pPr>
        <w:pStyle w:val="Heading1"/>
      </w:pPr>
      <w:r>
        <w:t>Aprobación técnica</w:t>
      </w:r>
    </w:p>
    <w:p>
      <w:r>
        <w:t>La aprobación confirma que los responsables comprenden el alcance, las decisiones de arquitectura y los riesgos abiertos. Cualquier cambio incompatible deberá registrarse en una nueva versión del TRD o en un Architecture Decision Record.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700"/>
        <w:gridCol w:w="1980"/>
        <w:gridCol w:w="216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Rol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Nombre</w:t>
            </w:r>
          </w:p>
        </w:tc>
        <w:tc>
          <w:tcPr>
            <w:tcW w:type="dxa" w:w="1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Decisión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Propietario del producto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 técnico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Propietario del negocio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Confidencial · Versión 1.0 ·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rFonts w:ascii="Calibri" w:hAnsi="Calibri"/>
        <w:b/>
        <w:color w:val="1F4D78"/>
        <w:sz w:val="18"/>
      </w:rPr>
      <w:t>COGANA  |  TECHNICAL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Requirements Document — Cogana</dc:title>
  <dc:subject>Arquitectura técnica de la aplicación móvil Cogana</dc:subject>
  <dc:creator>Cogana</dc:creator>
  <cp:keywords>TRD, Cogana, React Native, Expo, SQLite, Supabase, PostgreSQL, sincronización</cp:keywords>
  <dc:description>Versión 1.0 — Borrador técnico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