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VerisQ-EQS-NCTC12924   |   Issue date: 01 May 2026   |   Revision: 02</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Pseudomonas paraeruginosa (formerly Pseudomonas aeruginosa)</w:t>
      </w:r>
      <w:r>
        <w:rPr>
          <w:rFonts w:ascii="Calibri" w:hAnsi="Calibri"/>
          <w:b w:val="0"/>
          <w:i w:val="0"/>
          <w:sz w:val="20"/>
        </w:rPr>
        <w:t xml:space="preserve"> NCTC 12924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Pseudomonas paraeruginosa</w:t>
            </w:r>
          </w:p>
          <w:p>
            <w:r>
              <w:rPr>
                <w:i/>
                <w:sz w:val="16"/>
              </w:rPr>
              <w:t>(formerly Pseudomonas aeruginosa — name updated per USP–NF Notice, 18 Dec 2025)</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12924</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9027</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00026</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82.118 = NBRC 13275 = NCIMB 8626</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Antimicrobial preservative effectiveness; non-sterile product microbial enumeration; absence/presence of specified microorganisms; bioburden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Pseudomonas paraeruginosa (formerly Pseudomonas aeruginosa)</w:t>
      </w:r>
      <w:r>
        <w:rPr>
          <w:rFonts w:ascii="Calibri" w:hAnsi="Calibri"/>
          <w:b w:val="0"/>
          <w:i w:val="0"/>
          <w:sz w:val="20"/>
        </w:rPr>
        <w:t xml:space="preserve"> NCTC 12924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9027</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