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VerisQ-EQS-NCTC13227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Burkholderia cenocepacia</w:t>
      </w:r>
      <w:r>
        <w:rPr>
          <w:rFonts w:ascii="Calibri" w:hAnsi="Calibri"/>
          <w:b w:val="0"/>
          <w:i w:val="0"/>
          <w:sz w:val="20"/>
        </w:rPr>
        <w:t xml:space="preserve"> NCTC 13227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Burkholderia cenocepacia</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13227</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BAA-245 (strain J2315)</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LMG 16656 = DSM 16553 = CIP 108255 = CCM 4899 = CCUG 48434</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&lt;60&gt;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2.6.13 (Burkholderia cepacia complex testing)</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Burkholderia cepacia complex (BCC) panel test strain; growth promotion of BCSA; method suitability for non-sterile aqueous pharmaceutical products under USP &lt;60&gt;.</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Burkholderia cenocepacia</w:t>
      </w:r>
      <w:r>
        <w:rPr>
          <w:rFonts w:ascii="Calibri" w:hAnsi="Calibri"/>
          <w:b w:val="0"/>
          <w:i w:val="0"/>
          <w:sz w:val="20"/>
        </w:rPr>
        <w:t xml:space="preserve"> NCTC 13227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BAA-245 (strain J2315)</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